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8F25F2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 w:rsidR="008F25F2">
        <w:rPr>
          <w:b/>
          <w:i/>
          <w:noProof/>
          <w:sz w:val="28"/>
        </w:rPr>
        <w:tab/>
      </w:r>
      <w:r w:rsidR="00FC4746" w:rsidRPr="00FC4746">
        <w:rPr>
          <w:b/>
          <w:i/>
          <w:noProof/>
          <w:sz w:val="28"/>
        </w:rPr>
        <w:t>S3-222059</w:t>
      </w:r>
      <w:bookmarkStart w:id="0" w:name="_GoBack"/>
      <w:bookmarkEnd w:id="0"/>
    </w:p>
    <w:p w:rsidR="00EE33A2" w:rsidRDefault="00C555C9" w:rsidP="00C555C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8F25F2" w:rsidRPr="008F25F2">
        <w:rPr>
          <w:b/>
          <w:sz w:val="24"/>
        </w:rPr>
        <w:t>22</w:t>
      </w:r>
      <w:r w:rsidR="008F25F2" w:rsidRPr="008F25F2">
        <w:rPr>
          <w:b/>
          <w:sz w:val="24"/>
          <w:vertAlign w:val="superscript"/>
        </w:rPr>
        <w:t>nd</w:t>
      </w:r>
      <w:r w:rsidR="008F25F2" w:rsidRPr="008F25F2">
        <w:rPr>
          <w:b/>
          <w:sz w:val="24"/>
        </w:rPr>
        <w:t xml:space="preserve"> – 26</w:t>
      </w:r>
      <w:r w:rsidR="008F25F2" w:rsidRPr="008F25F2">
        <w:rPr>
          <w:b/>
          <w:sz w:val="24"/>
          <w:vertAlign w:val="superscript"/>
        </w:rPr>
        <w:t>th</w:t>
      </w:r>
      <w:r w:rsidR="008F25F2" w:rsidRPr="008F25F2">
        <w:rPr>
          <w:b/>
          <w:sz w:val="24"/>
        </w:rPr>
        <w:t xml:space="preserve"> August, 2022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 w:rsidP="008F25F2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24363" w:rsidRPr="00046364">
        <w:rPr>
          <w:rFonts w:ascii="Arial" w:hAnsi="Arial"/>
          <w:b/>
          <w:lang w:val="en-US"/>
        </w:rPr>
        <w:t>Huawei, HiSilicon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44E3B">
        <w:rPr>
          <w:rFonts w:ascii="Arial" w:hAnsi="Arial" w:cs="Arial"/>
          <w:b/>
        </w:rPr>
        <w:t xml:space="preserve">Discussion on </w:t>
      </w:r>
      <w:r w:rsidR="00924363">
        <w:rPr>
          <w:rFonts w:ascii="Arial" w:hAnsi="Arial" w:cs="Arial"/>
          <w:b/>
        </w:rPr>
        <w:t xml:space="preserve">Kiab in </w:t>
      </w:r>
      <w:r w:rsidR="00924363" w:rsidRPr="00924363">
        <w:rPr>
          <w:rFonts w:ascii="Arial" w:hAnsi="Arial" w:cs="Arial" w:hint="eastAsia"/>
          <w:b/>
        </w:rPr>
        <w:t>Inter-donor migration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  <w:r w:rsidR="005308D2">
        <w:rPr>
          <w:rFonts w:ascii="Arial" w:hAnsi="Arial"/>
          <w:b/>
          <w:lang w:eastAsia="zh-CN"/>
        </w:rPr>
        <w:t xml:space="preserve"> and endorsement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17ED7">
        <w:rPr>
          <w:rFonts w:ascii="Arial" w:hAnsi="Arial"/>
          <w:b/>
        </w:rPr>
        <w:t>4</w:t>
      </w:r>
      <w:r w:rsidR="00644E3B">
        <w:rPr>
          <w:rFonts w:ascii="Arial" w:hAnsi="Arial"/>
          <w:b/>
        </w:rPr>
        <w:t>.</w:t>
      </w:r>
      <w:r w:rsidR="00617ED7">
        <w:rPr>
          <w:rFonts w:ascii="Arial" w:hAnsi="Arial"/>
          <w:b/>
        </w:rPr>
        <w:t>9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644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discusses </w:t>
      </w:r>
      <w:r w:rsidR="00AB2682">
        <w:rPr>
          <w:b/>
          <w:i/>
        </w:rPr>
        <w:t>the security issue related to the Kiab handling in IAB node migiration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1D1F4A" w:rsidRDefault="00C022E3" w:rsidP="00644E3B">
      <w:pPr>
        <w:pStyle w:val="Reference"/>
        <w:ind w:left="0" w:firstLine="0"/>
        <w:rPr>
          <w:iCs/>
        </w:rPr>
      </w:pPr>
      <w:r w:rsidRPr="00644E3B">
        <w:rPr>
          <w:iCs/>
        </w:rPr>
        <w:t>[1]</w:t>
      </w:r>
      <w:r w:rsidRPr="00644E3B">
        <w:rPr>
          <w:iCs/>
        </w:rPr>
        <w:tab/>
      </w:r>
      <w:r w:rsidR="001D1F4A">
        <w:rPr>
          <w:iCs/>
        </w:rPr>
        <w:t>TS 33.501</w:t>
      </w:r>
    </w:p>
    <w:p w:rsidR="00C022E3" w:rsidRPr="00644E3B" w:rsidRDefault="001D1F4A" w:rsidP="00644E3B">
      <w:pPr>
        <w:pStyle w:val="Reference"/>
        <w:ind w:left="0" w:firstLine="0"/>
        <w:rPr>
          <w:iCs/>
        </w:rPr>
      </w:pPr>
      <w:r>
        <w:rPr>
          <w:iCs/>
        </w:rPr>
        <w:t>[2]</w:t>
      </w:r>
      <w:r>
        <w:rPr>
          <w:iCs/>
        </w:rPr>
        <w:tab/>
      </w:r>
      <w:r w:rsidR="00924363">
        <w:rPr>
          <w:iCs/>
        </w:rPr>
        <w:t>TS 38.401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4C77E8" w:rsidRDefault="004C77E8" w:rsidP="004C77E8">
      <w:pPr>
        <w:rPr>
          <w:rFonts w:ascii="Arial" w:hAnsi="Arial" w:cs="Arial"/>
          <w:b/>
        </w:rPr>
      </w:pPr>
      <w:r w:rsidRPr="00924363">
        <w:rPr>
          <w:rFonts w:ascii="Arial" w:hAnsi="Arial" w:cs="Arial"/>
          <w:b/>
        </w:rPr>
        <w:t>3.</w:t>
      </w:r>
      <w:r>
        <w:rPr>
          <w:rFonts w:ascii="Arial" w:hAnsi="Arial" w:cs="Arial"/>
          <w:b/>
        </w:rPr>
        <w:t>1</w:t>
      </w:r>
      <w:r w:rsidRPr="00924363">
        <w:rPr>
          <w:rFonts w:ascii="Arial" w:hAnsi="Arial" w:cs="Arial"/>
          <w:b/>
        </w:rPr>
        <w:t xml:space="preserve"> </w:t>
      </w:r>
      <w:r w:rsidRPr="00924363">
        <w:rPr>
          <w:rFonts w:ascii="Arial" w:hAnsi="Arial" w:cs="Arial" w:hint="eastAsia"/>
          <w:b/>
        </w:rPr>
        <w:t>Inter-donor migration</w:t>
      </w:r>
      <w:r>
        <w:rPr>
          <w:rFonts w:ascii="Arial" w:hAnsi="Arial" w:cs="Arial"/>
          <w:b/>
        </w:rPr>
        <w:t xml:space="preserve"> for IAB nodes</w:t>
      </w:r>
    </w:p>
    <w:p w:rsidR="004C77E8" w:rsidRDefault="004C77E8" w:rsidP="004C77E8">
      <w:r>
        <w:rPr>
          <w:iCs/>
        </w:rPr>
        <w:t xml:space="preserve">To extend the coverage of base station, IAB was introduced and specified in R16 and R17. </w:t>
      </w:r>
      <w:r w:rsidRPr="001D1F4A">
        <w:rPr>
          <w:iCs/>
        </w:rPr>
        <w:t xml:space="preserve">The NG-RAN supports IAB by the IAB-node wirelessly connecting to the gNB capable of serving the IAB-nodes, named IAB-donor. </w:t>
      </w:r>
      <w:r>
        <w:rPr>
          <w:lang w:eastAsia="ja-JP"/>
        </w:rPr>
        <w:t xml:space="preserve">The IAB-node provides wireless backhaul to the downstream IAB-nodes and UEs via the network functionalities of the NR Uu interface. </w:t>
      </w:r>
      <w:r w:rsidRPr="00206E09">
        <w:t xml:space="preserve">The F1 interface connects the IAB-node to the IAB-donor-CU. </w:t>
      </w:r>
    </w:p>
    <w:p w:rsidR="004C77E8" w:rsidRDefault="004C77E8" w:rsidP="004C77E8">
      <w:pPr>
        <w:rPr>
          <w:iCs/>
        </w:rPr>
      </w:pPr>
      <w:r>
        <w:rPr>
          <w:iCs/>
        </w:rPr>
        <w:t xml:space="preserve">In R17, </w:t>
      </w:r>
      <w:r w:rsidRPr="00CE6D76">
        <w:rPr>
          <w:iCs/>
        </w:rPr>
        <w:t xml:space="preserve">Partial Migration </w:t>
      </w:r>
      <w:r>
        <w:rPr>
          <w:iCs/>
        </w:rPr>
        <w:t>in inter-donor migration is specified in TS 38.401[2]. As shown in the figure below, t</w:t>
      </w:r>
      <w:r w:rsidRPr="00CE6D76">
        <w:rPr>
          <w:iCs/>
        </w:rPr>
        <w:t xml:space="preserve">he </w:t>
      </w:r>
      <w:r>
        <w:rPr>
          <w:iCs/>
        </w:rPr>
        <w:t>migirating</w:t>
      </w:r>
      <w:r w:rsidRPr="00CE6D76">
        <w:rPr>
          <w:iCs/>
        </w:rPr>
        <w:t xml:space="preserve"> </w:t>
      </w:r>
      <w:r>
        <w:rPr>
          <w:lang w:eastAsia="zh-CN"/>
        </w:rPr>
        <w:t xml:space="preserve">IAB-node’s </w:t>
      </w:r>
      <w:r w:rsidRPr="00CE6D76">
        <w:rPr>
          <w:iCs/>
        </w:rPr>
        <w:t xml:space="preserve">IAB-MT is migrated to the </w:t>
      </w:r>
      <w:r>
        <w:rPr>
          <w:iCs/>
        </w:rPr>
        <w:t>target</w:t>
      </w:r>
      <w:r w:rsidRPr="00CE6D76">
        <w:rPr>
          <w:iCs/>
        </w:rPr>
        <w:t xml:space="preserve"> </w:t>
      </w:r>
      <w:r>
        <w:rPr>
          <w:iCs/>
        </w:rPr>
        <w:t>IAB-donor-CU (</w:t>
      </w:r>
      <w:r w:rsidRPr="00A91828">
        <w:rPr>
          <w:iCs/>
          <w:color w:val="00B0F0"/>
        </w:rPr>
        <w:t>blue line</w:t>
      </w:r>
      <w:r>
        <w:rPr>
          <w:iCs/>
        </w:rPr>
        <w:t>), while the</w:t>
      </w:r>
      <w:r w:rsidRPr="00CE6D76">
        <w:rPr>
          <w:iCs/>
        </w:rPr>
        <w:t xml:space="preserve"> IAB-DU and descendant IAB node(s) (if any) are terminated to the </w:t>
      </w:r>
      <w:r>
        <w:rPr>
          <w:iCs/>
        </w:rPr>
        <w:t>source</w:t>
      </w:r>
      <w:r w:rsidRPr="00CE6D76">
        <w:rPr>
          <w:iCs/>
        </w:rPr>
        <w:t xml:space="preserve"> IAB-donor-CU</w:t>
      </w:r>
      <w:r>
        <w:rPr>
          <w:iCs/>
        </w:rPr>
        <w:t xml:space="preserve"> (</w:t>
      </w:r>
      <w:r w:rsidRPr="00A91828">
        <w:rPr>
          <w:iCs/>
          <w:color w:val="C00000"/>
        </w:rPr>
        <w:t>red line</w:t>
      </w:r>
      <w:r>
        <w:rPr>
          <w:iCs/>
        </w:rPr>
        <w:t>)</w:t>
      </w:r>
      <w:r w:rsidRPr="00CE6D76">
        <w:rPr>
          <w:iCs/>
        </w:rPr>
        <w:t>.</w:t>
      </w:r>
      <w:r>
        <w:rPr>
          <w:iCs/>
        </w:rPr>
        <w:t xml:space="preserve"> </w:t>
      </w:r>
    </w:p>
    <w:p w:rsidR="004C77E8" w:rsidRDefault="004C77E8" w:rsidP="004C77E8">
      <w:pPr>
        <w:jc w:val="center"/>
        <w:rPr>
          <w:iCs/>
        </w:rPr>
      </w:pPr>
      <w:r w:rsidRPr="00CE6D76">
        <w:rPr>
          <w:iCs/>
          <w:noProof/>
          <w:lang w:val="en-US" w:eastAsia="zh-CN"/>
        </w:rPr>
        <w:drawing>
          <wp:inline distT="0" distB="0" distL="0" distR="0" wp14:anchorId="73888600" wp14:editId="5789A9DB">
            <wp:extent cx="2369185" cy="2298065"/>
            <wp:effectExtent l="0" t="0" r="0" b="6985"/>
            <wp:docPr id="1" name="图片 1" descr="C:\Users\g00452835\Pictures\错误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00452835\Pictures\错误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9185" cy="2298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7E8" w:rsidRDefault="004C77E8" w:rsidP="004C77E8">
      <w:pPr>
        <w:rPr>
          <w:iCs/>
        </w:rPr>
      </w:pPr>
      <w:r>
        <w:rPr>
          <w:iCs/>
        </w:rPr>
        <w:t>Two use cases are applicable including:</w:t>
      </w:r>
    </w:p>
    <w:p w:rsidR="004C77E8" w:rsidRPr="006E62BF" w:rsidRDefault="004C77E8" w:rsidP="004C77E8">
      <w:pPr>
        <w:pStyle w:val="af0"/>
        <w:numPr>
          <w:ilvl w:val="0"/>
          <w:numId w:val="22"/>
        </w:numPr>
        <w:rPr>
          <w:i/>
          <w:iCs/>
        </w:rPr>
      </w:pPr>
      <w:r>
        <w:rPr>
          <w:iCs/>
        </w:rPr>
        <w:t>I</w:t>
      </w:r>
      <w:r w:rsidRPr="00CE6D76">
        <w:rPr>
          <w:iCs/>
        </w:rPr>
        <w:t>nter-CU topology adaptation for IAB-node</w:t>
      </w:r>
      <w:r>
        <w:rPr>
          <w:iCs/>
        </w:rPr>
        <w:t xml:space="preserve"> as specified in clause 8.17.3 of TS 38.401[2]</w:t>
      </w:r>
      <w:r w:rsidRPr="006E62BF">
        <w:rPr>
          <w:i/>
          <w:iCs/>
        </w:rPr>
        <w:t xml:space="preserve">. </w:t>
      </w:r>
      <w:r w:rsidRPr="00823C67">
        <w:rPr>
          <w:iCs/>
        </w:rPr>
        <w:t xml:space="preserve">The basic </w:t>
      </w:r>
      <w:r>
        <w:rPr>
          <w:iCs/>
        </w:rPr>
        <w:t>idea</w:t>
      </w:r>
      <w:r w:rsidRPr="00823C67">
        <w:rPr>
          <w:iCs/>
        </w:rPr>
        <w:t xml:space="preserve"> of the procedure is summarised as </w:t>
      </w:r>
      <w:r>
        <w:rPr>
          <w:i/>
          <w:iCs/>
        </w:rPr>
        <w:t>“</w:t>
      </w:r>
      <w:r w:rsidRPr="00823C67">
        <w:rPr>
          <w:i/>
          <w:iCs/>
        </w:rPr>
        <w:t>The IAB-MT switches</w:t>
      </w:r>
      <w:r w:rsidRPr="006E62BF">
        <w:rPr>
          <w:i/>
          <w:iCs/>
        </w:rPr>
        <w:t xml:space="preserve"> connection, i.e., migrates it’s RRC connection from an old parent node to a new parent node, where the old and the new parent nodes are served by different IAB-donor-CUs. Without loss of generality, the old parent node can be referred to as source parent node, and the new parent node can be referred to as target parent node.</w:t>
      </w:r>
      <w:r>
        <w:rPr>
          <w:i/>
          <w:iCs/>
        </w:rPr>
        <w:t>”</w:t>
      </w:r>
    </w:p>
    <w:p w:rsidR="004C77E8" w:rsidRPr="006E62BF" w:rsidRDefault="004C77E8" w:rsidP="004C77E8">
      <w:pPr>
        <w:pStyle w:val="af0"/>
        <w:numPr>
          <w:ilvl w:val="0"/>
          <w:numId w:val="22"/>
        </w:numPr>
        <w:rPr>
          <w:i/>
          <w:iCs/>
        </w:rPr>
      </w:pPr>
      <w:r w:rsidRPr="00823C67">
        <w:rPr>
          <w:rFonts w:eastAsia="MS Mincho"/>
          <w:lang w:eastAsia="ja-JP"/>
        </w:rPr>
        <w:t>IAB Int</w:t>
      </w:r>
      <w:r>
        <w:rPr>
          <w:rFonts w:eastAsia="MS Mincho"/>
          <w:lang w:eastAsia="ja-JP"/>
        </w:rPr>
        <w:t xml:space="preserve">er-CU Backhaul RLF recovery </w:t>
      </w:r>
      <w:r w:rsidRPr="00CE6D76">
        <w:rPr>
          <w:rFonts w:eastAsia="MS Mincho"/>
          <w:lang w:eastAsia="ja-JP"/>
        </w:rPr>
        <w:t>for IAB-nodes</w:t>
      </w:r>
      <w:r w:rsidRPr="00823C67">
        <w:rPr>
          <w:iCs/>
        </w:rPr>
        <w:t xml:space="preserve"> </w:t>
      </w:r>
      <w:r>
        <w:rPr>
          <w:iCs/>
        </w:rPr>
        <w:t>as specified in clause 8.17.4 of TS 38.401[2]</w:t>
      </w:r>
      <w:r>
        <w:rPr>
          <w:rFonts w:eastAsia="MS Mincho"/>
          <w:lang w:eastAsia="ja-JP"/>
        </w:rPr>
        <w:t xml:space="preserve">. </w:t>
      </w:r>
      <w:r w:rsidRPr="00823C67">
        <w:rPr>
          <w:iCs/>
        </w:rPr>
        <w:t xml:space="preserve">The basic </w:t>
      </w:r>
      <w:r>
        <w:rPr>
          <w:iCs/>
        </w:rPr>
        <w:t>idea</w:t>
      </w:r>
      <w:r w:rsidRPr="00823C67">
        <w:rPr>
          <w:iCs/>
        </w:rPr>
        <w:t xml:space="preserve"> of the procedure is summarised as</w:t>
      </w:r>
      <w:r w:rsidRPr="00823C67">
        <w:rPr>
          <w:rFonts w:eastAsia="MS Mincho"/>
          <w:i/>
          <w:lang w:eastAsia="ja-JP"/>
        </w:rPr>
        <w:t xml:space="preserve"> </w:t>
      </w:r>
      <w:r>
        <w:rPr>
          <w:rFonts w:eastAsia="MS Mincho"/>
          <w:i/>
          <w:lang w:eastAsia="ja-JP"/>
        </w:rPr>
        <w:t>“</w:t>
      </w:r>
      <w:r w:rsidRPr="00823C67">
        <w:rPr>
          <w:rFonts w:eastAsia="MS Mincho"/>
          <w:i/>
          <w:lang w:eastAsia="ja-JP"/>
        </w:rPr>
        <w:t>The inter-CU backhaul RLF recovery procedure for IAB-nodes in SA mode enables recovery of an IAB-node to another parent node underneath a different IAB-donor-CU, when the IAB-MT of the IAB-node declares a backhaul RLF.</w:t>
      </w:r>
      <w:r>
        <w:rPr>
          <w:rFonts w:eastAsia="MS Mincho"/>
          <w:i/>
          <w:lang w:eastAsia="ja-JP"/>
        </w:rPr>
        <w:t>”</w:t>
      </w:r>
    </w:p>
    <w:p w:rsidR="004C77E8" w:rsidRDefault="004C77E8" w:rsidP="004C77E8">
      <w:pPr>
        <w:rPr>
          <w:iCs/>
        </w:rPr>
      </w:pPr>
      <w:r>
        <w:rPr>
          <w:iCs/>
        </w:rPr>
        <w:t>During the migration, t</w:t>
      </w:r>
      <w:r w:rsidRPr="00A91828">
        <w:rPr>
          <w:iCs/>
        </w:rPr>
        <w:t xml:space="preserve">he target IAB-donor-CU may further reconfigure the </w:t>
      </w:r>
      <w:r>
        <w:rPr>
          <w:iCs/>
        </w:rPr>
        <w:t>IP</w:t>
      </w:r>
      <w:r w:rsidRPr="00A91828">
        <w:rPr>
          <w:iCs/>
        </w:rPr>
        <w:t xml:space="preserve"> addresses of the migrating IAB-node via RRC.</w:t>
      </w:r>
      <w:r>
        <w:rPr>
          <w:iCs/>
        </w:rPr>
        <w:t xml:space="preserve"> </w:t>
      </w:r>
      <w:r w:rsidRPr="006F2093">
        <w:rPr>
          <w:iCs/>
        </w:rPr>
        <w:t xml:space="preserve">The F1-C </w:t>
      </w:r>
      <w:r>
        <w:rPr>
          <w:iCs/>
        </w:rPr>
        <w:t xml:space="preserve">and F1-U </w:t>
      </w:r>
      <w:r w:rsidRPr="006F2093">
        <w:rPr>
          <w:iCs/>
        </w:rPr>
        <w:t xml:space="preserve">connection between the migrating IAB-node and the source IAB-donor-CU may be switched </w:t>
      </w:r>
      <w:r w:rsidRPr="006F2093">
        <w:rPr>
          <w:iCs/>
        </w:rPr>
        <w:lastRenderedPageBreak/>
        <w:t>to t</w:t>
      </w:r>
      <w:r>
        <w:rPr>
          <w:iCs/>
        </w:rPr>
        <w:t>he target path using the new IP</w:t>
      </w:r>
      <w:r w:rsidRPr="006F2093">
        <w:rPr>
          <w:iCs/>
        </w:rPr>
        <w:t xml:space="preserve"> address information of the migrating IAB-node. </w:t>
      </w:r>
      <w:r>
        <w:rPr>
          <w:iCs/>
        </w:rPr>
        <w:t xml:space="preserve">In other words, the new IP address of </w:t>
      </w:r>
      <w:r w:rsidRPr="006F2093">
        <w:rPr>
          <w:iCs/>
        </w:rPr>
        <w:t>the migrating IAB-node</w:t>
      </w:r>
      <w:r>
        <w:rPr>
          <w:iCs/>
        </w:rPr>
        <w:t xml:space="preserve"> DU will be taken into use for the F1-C and F1-U connections.</w:t>
      </w:r>
    </w:p>
    <w:p w:rsidR="004C77E8" w:rsidRPr="005308D2" w:rsidRDefault="004C77E8" w:rsidP="004C77E8">
      <w:pPr>
        <w:rPr>
          <w:b/>
          <w:sz w:val="18"/>
        </w:rPr>
      </w:pPr>
      <w:r w:rsidRPr="005308D2">
        <w:rPr>
          <w:b/>
          <w:sz w:val="18"/>
        </w:rPr>
        <w:t>Observation</w:t>
      </w:r>
      <w:r>
        <w:rPr>
          <w:b/>
          <w:sz w:val="18"/>
        </w:rPr>
        <w:t xml:space="preserve"> 1</w:t>
      </w:r>
      <w:r w:rsidRPr="005308D2">
        <w:rPr>
          <w:b/>
          <w:sz w:val="18"/>
        </w:rPr>
        <w:t xml:space="preserve">: </w:t>
      </w:r>
      <w:r>
        <w:rPr>
          <w:b/>
          <w:sz w:val="18"/>
        </w:rPr>
        <w:t>T</w:t>
      </w:r>
      <w:r w:rsidRPr="005308D2">
        <w:rPr>
          <w:b/>
          <w:sz w:val="18"/>
        </w:rPr>
        <w:t>he new IP address of the migrating IAB-node DU will be taken into use</w:t>
      </w:r>
      <w:r w:rsidRPr="004C77E8">
        <w:rPr>
          <w:b/>
          <w:sz w:val="18"/>
        </w:rPr>
        <w:t xml:space="preserve"> </w:t>
      </w:r>
      <w:r>
        <w:rPr>
          <w:b/>
          <w:sz w:val="18"/>
        </w:rPr>
        <w:t>during t</w:t>
      </w:r>
      <w:r>
        <w:rPr>
          <w:rFonts w:hint="eastAsia"/>
          <w:b/>
          <w:sz w:val="18"/>
          <w:lang w:eastAsia="zh-CN"/>
        </w:rPr>
        <w:t>h</w:t>
      </w:r>
      <w:r>
        <w:rPr>
          <w:b/>
          <w:sz w:val="18"/>
          <w:lang w:eastAsia="zh-CN"/>
        </w:rPr>
        <w:t>e migration</w:t>
      </w:r>
      <w:r w:rsidRPr="005308D2">
        <w:rPr>
          <w:b/>
          <w:sz w:val="18"/>
        </w:rPr>
        <w:t xml:space="preserve"> fo</w:t>
      </w:r>
      <w:r>
        <w:rPr>
          <w:b/>
          <w:sz w:val="18"/>
        </w:rPr>
        <w:t>r the F1 connections between the</w:t>
      </w:r>
      <w:r>
        <w:t xml:space="preserve"> </w:t>
      </w:r>
      <w:r w:rsidRPr="005308D2">
        <w:rPr>
          <w:b/>
          <w:sz w:val="18"/>
        </w:rPr>
        <w:t>migrating IAB-node DU</w:t>
      </w:r>
      <w:r>
        <w:rPr>
          <w:b/>
          <w:sz w:val="18"/>
        </w:rPr>
        <w:t xml:space="preserve"> and s</w:t>
      </w:r>
      <w:r w:rsidRPr="005308D2">
        <w:rPr>
          <w:b/>
          <w:sz w:val="18"/>
        </w:rPr>
        <w:t>ource IAB-donor-CU</w:t>
      </w:r>
      <w:r>
        <w:rPr>
          <w:b/>
          <w:sz w:val="18"/>
        </w:rPr>
        <w:t>.</w:t>
      </w:r>
    </w:p>
    <w:p w:rsidR="00924363" w:rsidRPr="00924363" w:rsidRDefault="00924363">
      <w:pPr>
        <w:rPr>
          <w:rFonts w:ascii="Arial" w:hAnsi="Arial" w:cs="Arial"/>
          <w:b/>
        </w:rPr>
      </w:pPr>
      <w:r w:rsidRPr="00924363">
        <w:rPr>
          <w:rFonts w:ascii="Arial" w:hAnsi="Arial" w:cs="Arial"/>
          <w:b/>
        </w:rPr>
        <w:t>3.</w:t>
      </w:r>
      <w:r w:rsidR="004C77E8">
        <w:rPr>
          <w:rFonts w:ascii="Arial" w:hAnsi="Arial" w:cs="Arial"/>
          <w:b/>
        </w:rPr>
        <w:t>2</w:t>
      </w:r>
      <w:r w:rsidRPr="00924363">
        <w:rPr>
          <w:rFonts w:ascii="Arial" w:hAnsi="Arial" w:cs="Arial"/>
          <w:b/>
        </w:rPr>
        <w:t xml:space="preserve"> K</w:t>
      </w:r>
      <w:r w:rsidRPr="00924363">
        <w:rPr>
          <w:rFonts w:ascii="Arial" w:hAnsi="Arial" w:cs="Arial"/>
          <w:b/>
          <w:vertAlign w:val="subscript"/>
        </w:rPr>
        <w:t>IAB</w:t>
      </w:r>
      <w:r w:rsidRPr="00924363">
        <w:rPr>
          <w:rFonts w:ascii="Arial" w:hAnsi="Arial" w:cs="Arial"/>
          <w:b/>
        </w:rPr>
        <w:t xml:space="preserve"> derivation</w:t>
      </w:r>
      <w:r w:rsidR="004C77E8">
        <w:rPr>
          <w:rFonts w:ascii="Arial" w:hAnsi="Arial" w:cs="Arial"/>
          <w:b/>
        </w:rPr>
        <w:t xml:space="preserve"> and usage</w:t>
      </w:r>
    </w:p>
    <w:p w:rsidR="001D1F4A" w:rsidRDefault="00924363" w:rsidP="001D1F4A">
      <w:pPr>
        <w:rPr>
          <w:lang w:eastAsia="ja-JP"/>
        </w:rPr>
      </w:pPr>
      <w:r>
        <w:rPr>
          <w:iCs/>
        </w:rPr>
        <w:t>To</w:t>
      </w:r>
      <w:r w:rsidRPr="00924363">
        <w:rPr>
          <w:iCs/>
        </w:rPr>
        <w:t xml:space="preserve"> support a flexible plug and play of IAB-node and IAB-donor without a pre-configuration of the PSK(s), dynamic PSK computation for IKEv2 PSK authentication may also be supported.</w:t>
      </w:r>
      <w:r w:rsidR="001D1F4A" w:rsidRPr="001D1F4A">
        <w:t xml:space="preserve"> </w:t>
      </w:r>
      <w:r w:rsidR="001D1F4A">
        <w:t xml:space="preserve">When dynamic PSK is used, </w:t>
      </w:r>
      <w:r w:rsidR="00BA6149">
        <w:t>t</w:t>
      </w:r>
      <w:r w:rsidR="00BA6149" w:rsidRPr="00BA6149">
        <w:t>he IAB-donor shall uniquely identify the IAB-node’s security context (K</w:t>
      </w:r>
      <w:r w:rsidR="00BA6149" w:rsidRPr="00BA6149">
        <w:rPr>
          <w:vertAlign w:val="subscript"/>
        </w:rPr>
        <w:t>gNB</w:t>
      </w:r>
      <w:r w:rsidR="00BA6149" w:rsidRPr="00BA6149">
        <w:t>) using the IAB-node DU IP address.</w:t>
      </w:r>
      <w:r w:rsidR="00BA6149">
        <w:t xml:space="preserve"> </w:t>
      </w:r>
      <w:r w:rsidR="00BA6149">
        <w:rPr>
          <w:lang w:eastAsia="zh-CN"/>
        </w:rPr>
        <w:t>T</w:t>
      </w:r>
      <w:r w:rsidR="001D1F4A" w:rsidRPr="00206E09">
        <w:rPr>
          <w:lang w:eastAsia="zh-CN"/>
        </w:rPr>
        <w:t xml:space="preserve">he </w:t>
      </w:r>
      <w:r w:rsidR="001D1F4A" w:rsidRPr="00206E09">
        <w:t xml:space="preserve">IAB-node and the IAB-donor </w:t>
      </w:r>
      <w:r w:rsidR="001D1F4A">
        <w:t xml:space="preserve">shall </w:t>
      </w:r>
      <w:r w:rsidR="001D1F4A" w:rsidRPr="00206E09">
        <w:t>calculate the PSK (K</w:t>
      </w:r>
      <w:r w:rsidR="001D1F4A" w:rsidRPr="00206E09">
        <w:rPr>
          <w:vertAlign w:val="subscript"/>
        </w:rPr>
        <w:t>IAB</w:t>
      </w:r>
      <w:r w:rsidR="001D1F4A" w:rsidRPr="00206E09">
        <w:t>) as specified in the Annex A.</w:t>
      </w:r>
      <w:r w:rsidR="001D1F4A">
        <w:t>23</w:t>
      </w:r>
      <w:r w:rsidR="001D1F4A" w:rsidRPr="00206E09">
        <w:t xml:space="preserve"> of </w:t>
      </w:r>
      <w:r w:rsidR="001D1F4A">
        <w:t>TS 33.501[1]</w:t>
      </w:r>
      <w:r w:rsidR="00823C67">
        <w:t xml:space="preserve"> as following</w:t>
      </w:r>
      <w:r w:rsidR="001D1F4A">
        <w:t>.</w:t>
      </w:r>
      <w:bookmarkStart w:id="1" w:name="_Toc45028917"/>
      <w:bookmarkStart w:id="2" w:name="_Toc45274582"/>
      <w:bookmarkStart w:id="3" w:name="_Toc45275169"/>
      <w:bookmarkStart w:id="4" w:name="_Toc51168427"/>
      <w:bookmarkStart w:id="5" w:name="_Toc106197956"/>
      <w:r w:rsidR="006F2093">
        <w:t xml:space="preserve"> IP address is used as input parameter and binding to the </w:t>
      </w:r>
      <w:r w:rsidR="00BA6149" w:rsidRPr="00206E09">
        <w:t>K</w:t>
      </w:r>
      <w:r w:rsidR="00BA6149" w:rsidRPr="00206E09">
        <w:rPr>
          <w:vertAlign w:val="subscript"/>
        </w:rPr>
        <w:t>IAB</w:t>
      </w:r>
      <w:r w:rsidR="006F2093">
        <w:t>.</w:t>
      </w:r>
      <w:r w:rsidR="00BA6149">
        <w:t xml:space="preserve"> </w:t>
      </w:r>
    </w:p>
    <w:p w:rsidR="001D1F4A" w:rsidRPr="001D1F4A" w:rsidRDefault="001D1F4A" w:rsidP="001D1F4A">
      <w:pPr>
        <w:rPr>
          <w:sz w:val="14"/>
        </w:rPr>
      </w:pPr>
      <w:r w:rsidRPr="001D1F4A">
        <w:rPr>
          <w:i/>
        </w:rPr>
        <w:t>A.23</w:t>
      </w:r>
      <w:r w:rsidRPr="001D1F4A">
        <w:rPr>
          <w:i/>
        </w:rPr>
        <w:tab/>
        <w:t xml:space="preserve"> K</w:t>
      </w:r>
      <w:r w:rsidRPr="001D1F4A">
        <w:rPr>
          <w:i/>
          <w:vertAlign w:val="subscript"/>
        </w:rPr>
        <w:t>IAB</w:t>
      </w:r>
      <w:r w:rsidRPr="001D1F4A">
        <w:rPr>
          <w:i/>
        </w:rPr>
        <w:t xml:space="preserve"> generation function</w:t>
      </w:r>
      <w:bookmarkEnd w:id="1"/>
      <w:bookmarkEnd w:id="2"/>
      <w:bookmarkEnd w:id="3"/>
      <w:bookmarkEnd w:id="4"/>
      <w:bookmarkEnd w:id="5"/>
    </w:p>
    <w:p w:rsidR="001D1F4A" w:rsidRPr="001D1F4A" w:rsidRDefault="001D1F4A" w:rsidP="001D1F4A">
      <w:pPr>
        <w:rPr>
          <w:i/>
          <w:sz w:val="16"/>
        </w:rPr>
      </w:pPr>
      <w:r w:rsidRPr="001D1F4A">
        <w:rPr>
          <w:i/>
          <w:sz w:val="16"/>
        </w:rPr>
        <w:t>This input string is used when the IAB-node and the IAB-donor derive K</w:t>
      </w:r>
      <w:r w:rsidRPr="001D1F4A">
        <w:rPr>
          <w:i/>
          <w:sz w:val="16"/>
          <w:vertAlign w:val="subscript"/>
        </w:rPr>
        <w:t xml:space="preserve">IAB </w:t>
      </w:r>
      <w:r w:rsidRPr="001D1F4A">
        <w:rPr>
          <w:i/>
          <w:sz w:val="16"/>
        </w:rPr>
        <w:t>(PSK) for establishment of secure F1 interface. The following parameters shall be used to form the input S to the KDF:</w:t>
      </w:r>
    </w:p>
    <w:p w:rsidR="001D1F4A" w:rsidRPr="001D1F4A" w:rsidRDefault="001D1F4A" w:rsidP="001D1F4A">
      <w:pPr>
        <w:pStyle w:val="B1"/>
        <w:rPr>
          <w:i/>
          <w:sz w:val="16"/>
        </w:rPr>
      </w:pPr>
      <w:r w:rsidRPr="001D1F4A">
        <w:rPr>
          <w:i/>
          <w:sz w:val="16"/>
        </w:rPr>
        <w:t>-</w:t>
      </w:r>
      <w:r w:rsidRPr="001D1F4A">
        <w:rPr>
          <w:i/>
          <w:sz w:val="16"/>
        </w:rPr>
        <w:tab/>
        <w:t>FC = 0x83,</w:t>
      </w:r>
    </w:p>
    <w:p w:rsidR="001D1F4A" w:rsidRPr="001D1F4A" w:rsidRDefault="001D1F4A" w:rsidP="001D1F4A">
      <w:pPr>
        <w:pStyle w:val="B1"/>
        <w:rPr>
          <w:i/>
          <w:sz w:val="16"/>
        </w:rPr>
      </w:pPr>
      <w:r w:rsidRPr="001D1F4A">
        <w:rPr>
          <w:i/>
          <w:sz w:val="16"/>
        </w:rPr>
        <w:t>-</w:t>
      </w:r>
      <w:r w:rsidRPr="001D1F4A">
        <w:rPr>
          <w:i/>
          <w:sz w:val="16"/>
        </w:rPr>
        <w:tab/>
        <w:t>P0 = IAB-donor-CU IP address,</w:t>
      </w:r>
    </w:p>
    <w:p w:rsidR="001D1F4A" w:rsidRPr="001D1F4A" w:rsidRDefault="001D1F4A" w:rsidP="001D1F4A">
      <w:pPr>
        <w:pStyle w:val="B1"/>
        <w:rPr>
          <w:i/>
          <w:sz w:val="16"/>
        </w:rPr>
      </w:pPr>
      <w:r w:rsidRPr="001D1F4A">
        <w:rPr>
          <w:i/>
          <w:sz w:val="16"/>
        </w:rPr>
        <w:t>-</w:t>
      </w:r>
      <w:r w:rsidRPr="001D1F4A">
        <w:rPr>
          <w:i/>
          <w:sz w:val="16"/>
        </w:rPr>
        <w:tab/>
        <w:t>L0 = length of IAB-donor-CU IP address,</w:t>
      </w:r>
    </w:p>
    <w:p w:rsidR="001D1F4A" w:rsidRPr="001D1F4A" w:rsidRDefault="001D1F4A" w:rsidP="001D1F4A">
      <w:pPr>
        <w:pStyle w:val="B1"/>
        <w:rPr>
          <w:i/>
          <w:sz w:val="16"/>
        </w:rPr>
      </w:pPr>
      <w:r w:rsidRPr="001D1F4A">
        <w:rPr>
          <w:i/>
          <w:sz w:val="16"/>
        </w:rPr>
        <w:t xml:space="preserve">- </w:t>
      </w:r>
      <w:r w:rsidRPr="001D1F4A">
        <w:rPr>
          <w:i/>
          <w:sz w:val="16"/>
        </w:rPr>
        <w:tab/>
        <w:t>P1 = IAB-node DU IP address,</w:t>
      </w:r>
    </w:p>
    <w:p w:rsidR="001D1F4A" w:rsidRPr="001D1F4A" w:rsidRDefault="001D1F4A" w:rsidP="001D1F4A">
      <w:pPr>
        <w:pStyle w:val="B1"/>
        <w:rPr>
          <w:i/>
          <w:sz w:val="16"/>
        </w:rPr>
      </w:pPr>
      <w:r w:rsidRPr="001D1F4A">
        <w:rPr>
          <w:i/>
          <w:sz w:val="16"/>
        </w:rPr>
        <w:t>-</w:t>
      </w:r>
      <w:r w:rsidRPr="001D1F4A">
        <w:rPr>
          <w:i/>
          <w:sz w:val="16"/>
        </w:rPr>
        <w:tab/>
        <w:t>L1 = length of IAB-node DU IP address.</w:t>
      </w:r>
    </w:p>
    <w:p w:rsidR="001D1F4A" w:rsidRDefault="001D1F4A">
      <w:pPr>
        <w:rPr>
          <w:i/>
          <w:sz w:val="16"/>
        </w:rPr>
      </w:pPr>
      <w:r w:rsidRPr="001D1F4A">
        <w:rPr>
          <w:i/>
          <w:sz w:val="16"/>
        </w:rPr>
        <w:t>The input key KEY shall be K</w:t>
      </w:r>
      <w:r w:rsidRPr="001D1F4A">
        <w:rPr>
          <w:i/>
          <w:sz w:val="16"/>
          <w:vertAlign w:val="subscript"/>
        </w:rPr>
        <w:t xml:space="preserve">gNB, </w:t>
      </w:r>
      <w:r w:rsidRPr="001D1F4A">
        <w:rPr>
          <w:i/>
          <w:sz w:val="16"/>
        </w:rPr>
        <w:t>if the key K</w:t>
      </w:r>
      <w:r w:rsidRPr="001D1F4A">
        <w:rPr>
          <w:i/>
          <w:sz w:val="16"/>
          <w:vertAlign w:val="subscript"/>
        </w:rPr>
        <w:t>gNB</w:t>
      </w:r>
      <w:r w:rsidRPr="001D1F4A">
        <w:rPr>
          <w:i/>
          <w:sz w:val="16"/>
        </w:rPr>
        <w:t xml:space="preserve"> is in possession of the IAB-UE functionality in the IAB-node and in the IAB-donor-CU (also when acts as MN for NR-DC scenario), after the IAB-UE setup procedure (Phase-1).</w:t>
      </w:r>
    </w:p>
    <w:p w:rsidR="005308D2" w:rsidRDefault="005308D2">
      <w:pPr>
        <w:rPr>
          <w:b/>
          <w:sz w:val="18"/>
        </w:rPr>
      </w:pPr>
      <w:r w:rsidRPr="005308D2">
        <w:rPr>
          <w:b/>
          <w:sz w:val="18"/>
        </w:rPr>
        <w:t>Observation</w:t>
      </w:r>
      <w:r>
        <w:rPr>
          <w:b/>
          <w:sz w:val="18"/>
        </w:rPr>
        <w:t xml:space="preserve"> </w:t>
      </w:r>
      <w:r w:rsidR="004C77E8">
        <w:rPr>
          <w:b/>
          <w:sz w:val="18"/>
        </w:rPr>
        <w:t>2</w:t>
      </w:r>
      <w:r w:rsidRPr="005308D2">
        <w:rPr>
          <w:b/>
          <w:sz w:val="18"/>
        </w:rPr>
        <w:t>: IAB-node DU IP address</w:t>
      </w:r>
      <w:r>
        <w:rPr>
          <w:b/>
          <w:sz w:val="18"/>
        </w:rPr>
        <w:t xml:space="preserve"> is used as input parameter in the </w:t>
      </w:r>
      <w:r w:rsidRPr="005308D2">
        <w:rPr>
          <w:b/>
          <w:sz w:val="18"/>
        </w:rPr>
        <w:t>K</w:t>
      </w:r>
      <w:r w:rsidRPr="005308D2">
        <w:rPr>
          <w:b/>
          <w:sz w:val="18"/>
          <w:vertAlign w:val="subscript"/>
        </w:rPr>
        <w:t>IAB</w:t>
      </w:r>
      <w:r w:rsidRPr="005308D2">
        <w:rPr>
          <w:b/>
          <w:sz w:val="18"/>
        </w:rPr>
        <w:t xml:space="preserve"> derivation</w:t>
      </w:r>
      <w:r>
        <w:rPr>
          <w:b/>
          <w:sz w:val="18"/>
        </w:rPr>
        <w:t>.</w:t>
      </w:r>
    </w:p>
    <w:p w:rsidR="004C77E8" w:rsidRPr="005308D2" w:rsidRDefault="004C77E8">
      <w:pPr>
        <w:rPr>
          <w:b/>
          <w:sz w:val="18"/>
        </w:rPr>
      </w:pPr>
      <w:r w:rsidRPr="005308D2">
        <w:rPr>
          <w:b/>
          <w:sz w:val="18"/>
        </w:rPr>
        <w:t>Observation</w:t>
      </w:r>
      <w:r>
        <w:rPr>
          <w:b/>
          <w:sz w:val="18"/>
        </w:rPr>
        <w:t xml:space="preserve"> 3</w:t>
      </w:r>
      <w:r w:rsidRPr="005308D2">
        <w:rPr>
          <w:b/>
          <w:sz w:val="18"/>
        </w:rPr>
        <w:t xml:space="preserve">: </w:t>
      </w:r>
      <w:r>
        <w:rPr>
          <w:b/>
          <w:sz w:val="18"/>
        </w:rPr>
        <w:t>The old</w:t>
      </w:r>
      <w:r w:rsidRPr="004C77E8">
        <w:rPr>
          <w:b/>
          <w:sz w:val="18"/>
        </w:rPr>
        <w:t xml:space="preserve"> </w:t>
      </w:r>
      <w:r w:rsidRPr="005308D2">
        <w:rPr>
          <w:b/>
          <w:sz w:val="18"/>
        </w:rPr>
        <w:t>K</w:t>
      </w:r>
      <w:r w:rsidRPr="005308D2">
        <w:rPr>
          <w:b/>
          <w:sz w:val="18"/>
          <w:vertAlign w:val="subscript"/>
        </w:rPr>
        <w:t>IAB</w:t>
      </w:r>
      <w:r>
        <w:rPr>
          <w:b/>
          <w:sz w:val="18"/>
        </w:rPr>
        <w:t xml:space="preserve"> derived with old </w:t>
      </w:r>
      <w:r w:rsidRPr="005308D2">
        <w:rPr>
          <w:b/>
          <w:sz w:val="18"/>
        </w:rPr>
        <w:t xml:space="preserve">IP address of the migrating IAB-node DU </w:t>
      </w:r>
      <w:r>
        <w:rPr>
          <w:b/>
          <w:sz w:val="18"/>
        </w:rPr>
        <w:t>cannot be used for F1 connections during t</w:t>
      </w:r>
      <w:r>
        <w:rPr>
          <w:rFonts w:hint="eastAsia"/>
          <w:b/>
          <w:sz w:val="18"/>
          <w:lang w:eastAsia="zh-CN"/>
        </w:rPr>
        <w:t>h</w:t>
      </w:r>
      <w:r>
        <w:rPr>
          <w:b/>
          <w:sz w:val="18"/>
          <w:lang w:eastAsia="zh-CN"/>
        </w:rPr>
        <w:t>e migration as the IP address is already changed.</w:t>
      </w:r>
    </w:p>
    <w:p w:rsidR="00924363" w:rsidRDefault="0092436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3.3 </w:t>
      </w:r>
      <w:r w:rsidR="00880825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ecurity issue</w:t>
      </w:r>
    </w:p>
    <w:p w:rsidR="00880825" w:rsidRDefault="00880825">
      <w:r>
        <w:t>As specified in TS 33.501, t</w:t>
      </w:r>
      <w:r w:rsidR="00FF1EE6" w:rsidRPr="007B0C8B">
        <w:t xml:space="preserve">he </w:t>
      </w:r>
      <w:r w:rsidR="00FF1EE6" w:rsidRPr="00206E09">
        <w:t>IAB-donor</w:t>
      </w:r>
      <w:r w:rsidR="00FF1EE6" w:rsidRPr="007B0C8B">
        <w:t xml:space="preserve"> shall use K</w:t>
      </w:r>
      <w:r w:rsidR="00FF1EE6" w:rsidRPr="007B0C8B">
        <w:rPr>
          <w:vertAlign w:val="subscript"/>
        </w:rPr>
        <w:t>I</w:t>
      </w:r>
      <w:r w:rsidR="00FF1EE6">
        <w:rPr>
          <w:vertAlign w:val="subscript"/>
        </w:rPr>
        <w:t>AB</w:t>
      </w:r>
      <w:r w:rsidR="00FF1EE6" w:rsidRPr="007B0C8B">
        <w:t xml:space="preserve"> as </w:t>
      </w:r>
      <w:r w:rsidR="00FF1EE6">
        <w:t>PSK</w:t>
      </w:r>
      <w:r w:rsidR="00FF1EE6" w:rsidRPr="007B0C8B">
        <w:t xml:space="preserve"> for IKEv2 between </w:t>
      </w:r>
      <w:r w:rsidR="00FF1EE6" w:rsidRPr="00206E09">
        <w:t>IAB-node and the IAB-donor</w:t>
      </w:r>
      <w:r w:rsidR="00160342">
        <w:t>-CU</w:t>
      </w:r>
      <w:r w:rsidR="00FF1EE6">
        <w:t>.</w:t>
      </w:r>
      <w:r>
        <w:t xml:space="preserve"> The </w:t>
      </w:r>
      <w:r w:rsidRPr="007B0C8B">
        <w:t>K</w:t>
      </w:r>
      <w:r w:rsidRPr="007B0C8B">
        <w:rPr>
          <w:vertAlign w:val="subscript"/>
        </w:rPr>
        <w:t>I</w:t>
      </w:r>
      <w:r>
        <w:rPr>
          <w:vertAlign w:val="subscript"/>
        </w:rPr>
        <w:t>AB</w:t>
      </w:r>
      <w:r>
        <w:t xml:space="preserve"> is binding to the pair of </w:t>
      </w:r>
      <w:r w:rsidRPr="00880825">
        <w:t xml:space="preserve">IAB-donor-CU IP address </w:t>
      </w:r>
      <w:r>
        <w:t xml:space="preserve">and </w:t>
      </w:r>
      <w:r w:rsidR="005274B7" w:rsidRPr="00880825">
        <w:t>IAB-node DU IP address</w:t>
      </w:r>
      <w:r>
        <w:t xml:space="preserve">. If the F1-C and F1-U connection is switched to the </w:t>
      </w:r>
      <w:r>
        <w:rPr>
          <w:iCs/>
        </w:rPr>
        <w:t xml:space="preserve">target path with the new </w:t>
      </w:r>
      <w:r w:rsidRPr="00880825">
        <w:t>IAB-node DU IP address</w:t>
      </w:r>
      <w:r>
        <w:t xml:space="preserve">, the security </w:t>
      </w:r>
      <w:r w:rsidR="00BA6149">
        <w:t xml:space="preserve">needs renegociation using IKEv2 with new </w:t>
      </w:r>
      <w:r w:rsidR="00BA6149" w:rsidRPr="007B0C8B">
        <w:t>K</w:t>
      </w:r>
      <w:r w:rsidR="00BA6149" w:rsidRPr="007B0C8B">
        <w:rPr>
          <w:vertAlign w:val="subscript"/>
        </w:rPr>
        <w:t>I</w:t>
      </w:r>
      <w:r w:rsidR="00BA6149">
        <w:rPr>
          <w:vertAlign w:val="subscript"/>
        </w:rPr>
        <w:t>AB</w:t>
      </w:r>
      <w:r w:rsidR="00160342" w:rsidRPr="00160342">
        <w:t xml:space="preserve"> </w:t>
      </w:r>
      <w:r w:rsidR="00160342" w:rsidRPr="007B0C8B">
        <w:t xml:space="preserve">between </w:t>
      </w:r>
      <w:r w:rsidR="00160342" w:rsidRPr="00206E09">
        <w:t xml:space="preserve">IAB-node and the </w:t>
      </w:r>
      <w:r w:rsidR="00160342">
        <w:t xml:space="preserve">source </w:t>
      </w:r>
      <w:r w:rsidR="00160342" w:rsidRPr="00206E09">
        <w:t>IAB-donor</w:t>
      </w:r>
      <w:r w:rsidR="00160342">
        <w:t>-CU</w:t>
      </w:r>
      <w:r w:rsidR="00BA6149">
        <w:t xml:space="preserve">. </w:t>
      </w:r>
    </w:p>
    <w:p w:rsidR="00BA6149" w:rsidRDefault="00160342">
      <w:pPr>
        <w:rPr>
          <w:iCs/>
        </w:rPr>
      </w:pPr>
      <w:r>
        <w:rPr>
          <w:iCs/>
        </w:rPr>
        <w:t>During the migration</w:t>
      </w:r>
      <w:r w:rsidR="00BA6149">
        <w:t xml:space="preserve">, </w:t>
      </w:r>
      <w:r w:rsidR="00BA6149">
        <w:rPr>
          <w:iCs/>
        </w:rPr>
        <w:t>t</w:t>
      </w:r>
      <w:r w:rsidR="00BA6149" w:rsidRPr="00CE6D76">
        <w:rPr>
          <w:iCs/>
        </w:rPr>
        <w:t xml:space="preserve">he </w:t>
      </w:r>
      <w:r w:rsidR="00BA6149">
        <w:rPr>
          <w:iCs/>
        </w:rPr>
        <w:t>migirating</w:t>
      </w:r>
      <w:r w:rsidR="00BA6149" w:rsidRPr="00CE6D76">
        <w:rPr>
          <w:iCs/>
        </w:rPr>
        <w:t xml:space="preserve"> </w:t>
      </w:r>
      <w:r w:rsidR="00BA6149">
        <w:rPr>
          <w:lang w:eastAsia="zh-CN"/>
        </w:rPr>
        <w:t xml:space="preserve">IAB-node’s </w:t>
      </w:r>
      <w:r w:rsidR="00BA6149" w:rsidRPr="00CE6D76">
        <w:rPr>
          <w:iCs/>
        </w:rPr>
        <w:t xml:space="preserve">IAB-MT is </w:t>
      </w:r>
      <w:r>
        <w:rPr>
          <w:iCs/>
        </w:rPr>
        <w:t>switch</w:t>
      </w:r>
      <w:r w:rsidR="00BA6149" w:rsidRPr="00CE6D76">
        <w:rPr>
          <w:iCs/>
        </w:rPr>
        <w:t xml:space="preserve">ed to the </w:t>
      </w:r>
      <w:r w:rsidR="00BA6149">
        <w:rPr>
          <w:iCs/>
        </w:rPr>
        <w:t>target</w:t>
      </w:r>
      <w:r w:rsidR="00BA6149" w:rsidRPr="00CE6D76">
        <w:rPr>
          <w:iCs/>
        </w:rPr>
        <w:t xml:space="preserve"> </w:t>
      </w:r>
      <w:r w:rsidR="00BA6149">
        <w:rPr>
          <w:iCs/>
        </w:rPr>
        <w:t>IAB-donor</w:t>
      </w:r>
      <w:r>
        <w:rPr>
          <w:iCs/>
        </w:rPr>
        <w:t>-CU</w:t>
      </w:r>
      <w:r w:rsidR="00BA6149">
        <w:rPr>
          <w:iCs/>
        </w:rPr>
        <w:t>. The migirating</w:t>
      </w:r>
      <w:r w:rsidR="00BA6149" w:rsidRPr="00CE6D76">
        <w:rPr>
          <w:iCs/>
        </w:rPr>
        <w:t xml:space="preserve"> </w:t>
      </w:r>
      <w:r w:rsidR="00BA6149">
        <w:rPr>
          <w:lang w:eastAsia="zh-CN"/>
        </w:rPr>
        <w:t xml:space="preserve">IAB-node’s </w:t>
      </w:r>
      <w:r w:rsidR="00BA6149" w:rsidRPr="00CE6D76">
        <w:rPr>
          <w:iCs/>
        </w:rPr>
        <w:t>IAB-MT</w:t>
      </w:r>
      <w:r w:rsidR="00BA6149">
        <w:rPr>
          <w:iCs/>
        </w:rPr>
        <w:t xml:space="preserve"> will derive new K</w:t>
      </w:r>
      <w:r w:rsidR="00BA6149" w:rsidRPr="00160342">
        <w:rPr>
          <w:iCs/>
          <w:vertAlign w:val="subscript"/>
        </w:rPr>
        <w:t>gNB</w:t>
      </w:r>
      <w:r w:rsidR="00BA6149">
        <w:rPr>
          <w:iCs/>
        </w:rPr>
        <w:t xml:space="preserve"> with target</w:t>
      </w:r>
      <w:r w:rsidR="00BA6149" w:rsidRPr="00CE6D76">
        <w:rPr>
          <w:iCs/>
        </w:rPr>
        <w:t xml:space="preserve"> </w:t>
      </w:r>
      <w:r w:rsidR="00BA6149">
        <w:rPr>
          <w:iCs/>
        </w:rPr>
        <w:t>IAB-donor-CU</w:t>
      </w:r>
      <w:r>
        <w:rPr>
          <w:iCs/>
        </w:rPr>
        <w:t xml:space="preserve">. The IAB-node will derive </w:t>
      </w:r>
      <w:r>
        <w:t xml:space="preserve">new </w:t>
      </w:r>
      <w:r w:rsidRPr="007B0C8B">
        <w:t>K</w:t>
      </w:r>
      <w:r w:rsidRPr="007B0C8B">
        <w:rPr>
          <w:vertAlign w:val="subscript"/>
        </w:rPr>
        <w:t>I</w:t>
      </w:r>
      <w:r>
        <w:rPr>
          <w:vertAlign w:val="subscript"/>
        </w:rPr>
        <w:t>AB</w:t>
      </w:r>
      <w:r>
        <w:rPr>
          <w:iCs/>
        </w:rPr>
        <w:t xml:space="preserve"> with new new K</w:t>
      </w:r>
      <w:r w:rsidRPr="00160342">
        <w:rPr>
          <w:iCs/>
          <w:vertAlign w:val="subscript"/>
        </w:rPr>
        <w:t>gNB</w:t>
      </w:r>
      <w:r w:rsidRPr="00160342">
        <w:rPr>
          <w:iCs/>
        </w:rPr>
        <w:t xml:space="preserve"> </w:t>
      </w:r>
      <w:r>
        <w:rPr>
          <w:iCs/>
        </w:rPr>
        <w:t xml:space="preserve">and the new </w:t>
      </w:r>
      <w:r w:rsidRPr="00880825">
        <w:t>IAB-node DU IP address</w:t>
      </w:r>
      <w:r>
        <w:t xml:space="preserve">. However, the source </w:t>
      </w:r>
      <w:r w:rsidRPr="00206E09">
        <w:t>IAB-donor</w:t>
      </w:r>
      <w:r>
        <w:rPr>
          <w:iCs/>
        </w:rPr>
        <w:t xml:space="preserve">-CU only stores the old </w:t>
      </w:r>
      <w:r w:rsidR="005274B7">
        <w:rPr>
          <w:iCs/>
        </w:rPr>
        <w:t>K</w:t>
      </w:r>
      <w:r w:rsidR="005274B7" w:rsidRPr="00160342">
        <w:rPr>
          <w:iCs/>
          <w:vertAlign w:val="subscript"/>
        </w:rPr>
        <w:t>gNB</w:t>
      </w:r>
      <w:r w:rsidR="005274B7">
        <w:rPr>
          <w:iCs/>
        </w:rPr>
        <w:t xml:space="preserve">. The new </w:t>
      </w:r>
      <w:r w:rsidR="005274B7" w:rsidRPr="007B0C8B">
        <w:t>K</w:t>
      </w:r>
      <w:r w:rsidR="005274B7" w:rsidRPr="007B0C8B">
        <w:rPr>
          <w:vertAlign w:val="subscript"/>
        </w:rPr>
        <w:t>I</w:t>
      </w:r>
      <w:r w:rsidR="005274B7">
        <w:rPr>
          <w:vertAlign w:val="subscript"/>
        </w:rPr>
        <w:t>AB</w:t>
      </w:r>
      <w:r w:rsidR="005274B7">
        <w:rPr>
          <w:iCs/>
        </w:rPr>
        <w:t xml:space="preserve"> from IAB-node and source IAB-donor-CU will mismatch, which results to the failure</w:t>
      </w:r>
      <w:r w:rsidR="005308D2">
        <w:rPr>
          <w:iCs/>
        </w:rPr>
        <w:t xml:space="preserve"> during</w:t>
      </w:r>
      <w:r w:rsidR="005274B7">
        <w:rPr>
          <w:iCs/>
        </w:rPr>
        <w:t xml:space="preserve"> </w:t>
      </w:r>
      <w:r w:rsidR="005308D2" w:rsidRPr="00924363">
        <w:rPr>
          <w:iCs/>
        </w:rPr>
        <w:t>IKEv2 PSK authentication</w:t>
      </w:r>
      <w:r w:rsidR="005308D2">
        <w:rPr>
          <w:iCs/>
        </w:rPr>
        <w:t>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800"/>
        <w:gridCol w:w="1016"/>
        <w:gridCol w:w="2178"/>
        <w:gridCol w:w="2101"/>
        <w:gridCol w:w="2010"/>
      </w:tblGrid>
      <w:tr w:rsidR="005274B7" w:rsidTr="005274B7">
        <w:tc>
          <w:tcPr>
            <w:tcW w:w="1800" w:type="dxa"/>
          </w:tcPr>
          <w:p w:rsidR="005274B7" w:rsidRDefault="005274B7">
            <w:r>
              <w:t>Parameters</w:t>
            </w:r>
          </w:p>
        </w:tc>
        <w:tc>
          <w:tcPr>
            <w:tcW w:w="1016" w:type="dxa"/>
          </w:tcPr>
          <w:p w:rsidR="005274B7" w:rsidRDefault="005274B7" w:rsidP="005274B7">
            <w:pPr>
              <w:jc w:val="center"/>
            </w:pPr>
            <w:r>
              <w:rPr>
                <w:iCs/>
              </w:rPr>
              <w:t>K</w:t>
            </w:r>
            <w:r w:rsidRPr="00160342">
              <w:rPr>
                <w:iCs/>
                <w:vertAlign w:val="subscript"/>
              </w:rPr>
              <w:t>gNB</w:t>
            </w:r>
          </w:p>
        </w:tc>
        <w:tc>
          <w:tcPr>
            <w:tcW w:w="2178" w:type="dxa"/>
          </w:tcPr>
          <w:p w:rsidR="005274B7" w:rsidRDefault="005274B7" w:rsidP="005274B7">
            <w:pPr>
              <w:jc w:val="center"/>
            </w:pPr>
            <w:r>
              <w:t xml:space="preserve">Source </w:t>
            </w:r>
            <w:r w:rsidRPr="00880825">
              <w:t>IAB-donor-CU IP address</w:t>
            </w:r>
          </w:p>
        </w:tc>
        <w:tc>
          <w:tcPr>
            <w:tcW w:w="2101" w:type="dxa"/>
          </w:tcPr>
          <w:p w:rsidR="005274B7" w:rsidRDefault="005274B7" w:rsidP="005274B7">
            <w:pPr>
              <w:jc w:val="center"/>
            </w:pPr>
            <w:r>
              <w:t xml:space="preserve">Target </w:t>
            </w:r>
            <w:r w:rsidRPr="00880825">
              <w:t>IAB-donor-CU IP address</w:t>
            </w:r>
          </w:p>
        </w:tc>
        <w:tc>
          <w:tcPr>
            <w:tcW w:w="2010" w:type="dxa"/>
          </w:tcPr>
          <w:p w:rsidR="005274B7" w:rsidRDefault="005274B7" w:rsidP="005274B7">
            <w:pPr>
              <w:jc w:val="center"/>
            </w:pPr>
            <w:r w:rsidRPr="00880825">
              <w:t>IAB-node DU IP address</w:t>
            </w:r>
          </w:p>
        </w:tc>
      </w:tr>
      <w:tr w:rsidR="005274B7" w:rsidTr="005274B7">
        <w:tc>
          <w:tcPr>
            <w:tcW w:w="1800" w:type="dxa"/>
          </w:tcPr>
          <w:p w:rsidR="005274B7" w:rsidRDefault="005274B7">
            <w:r>
              <w:t>IAB-node</w:t>
            </w:r>
          </w:p>
        </w:tc>
        <w:tc>
          <w:tcPr>
            <w:tcW w:w="1016" w:type="dxa"/>
          </w:tcPr>
          <w:p w:rsidR="005274B7" w:rsidRDefault="005274B7" w:rsidP="005274B7">
            <w:pPr>
              <w:jc w:val="center"/>
            </w:pPr>
            <w:r w:rsidRPr="005274B7">
              <w:rPr>
                <w:color w:val="00B050"/>
              </w:rPr>
              <w:t>Y, New</w:t>
            </w:r>
          </w:p>
        </w:tc>
        <w:tc>
          <w:tcPr>
            <w:tcW w:w="2178" w:type="dxa"/>
          </w:tcPr>
          <w:p w:rsidR="005274B7" w:rsidRDefault="005274B7" w:rsidP="005274B7">
            <w:pPr>
              <w:jc w:val="center"/>
            </w:pPr>
            <w:r>
              <w:t>Y</w:t>
            </w:r>
          </w:p>
        </w:tc>
        <w:tc>
          <w:tcPr>
            <w:tcW w:w="2101" w:type="dxa"/>
          </w:tcPr>
          <w:p w:rsidR="005274B7" w:rsidRDefault="005274B7" w:rsidP="005274B7">
            <w:pPr>
              <w:jc w:val="center"/>
            </w:pPr>
            <w:r>
              <w:t>Y</w:t>
            </w:r>
          </w:p>
        </w:tc>
        <w:tc>
          <w:tcPr>
            <w:tcW w:w="2010" w:type="dxa"/>
          </w:tcPr>
          <w:p w:rsidR="005274B7" w:rsidRDefault="005274B7" w:rsidP="005274B7">
            <w:pPr>
              <w:jc w:val="center"/>
            </w:pPr>
            <w:r>
              <w:t>Y</w:t>
            </w:r>
          </w:p>
        </w:tc>
      </w:tr>
      <w:tr w:rsidR="005274B7" w:rsidTr="005274B7">
        <w:tc>
          <w:tcPr>
            <w:tcW w:w="1800" w:type="dxa"/>
          </w:tcPr>
          <w:p w:rsidR="005274B7" w:rsidRDefault="005274B7" w:rsidP="005274B7">
            <w:r>
              <w:t xml:space="preserve">Source </w:t>
            </w:r>
            <w:r w:rsidRPr="00206E09">
              <w:t>IAB-donor</w:t>
            </w:r>
          </w:p>
        </w:tc>
        <w:tc>
          <w:tcPr>
            <w:tcW w:w="1016" w:type="dxa"/>
          </w:tcPr>
          <w:p w:rsidR="005274B7" w:rsidRDefault="005274B7" w:rsidP="005274B7">
            <w:pPr>
              <w:jc w:val="center"/>
            </w:pPr>
            <w:r w:rsidRPr="005274B7">
              <w:rPr>
                <w:color w:val="C00000"/>
              </w:rPr>
              <w:t>Y, Old</w:t>
            </w:r>
          </w:p>
        </w:tc>
        <w:tc>
          <w:tcPr>
            <w:tcW w:w="2178" w:type="dxa"/>
          </w:tcPr>
          <w:p w:rsidR="005274B7" w:rsidRDefault="005274B7" w:rsidP="005274B7">
            <w:pPr>
              <w:jc w:val="center"/>
            </w:pPr>
            <w:r>
              <w:t>Y</w:t>
            </w:r>
          </w:p>
        </w:tc>
        <w:tc>
          <w:tcPr>
            <w:tcW w:w="2101" w:type="dxa"/>
          </w:tcPr>
          <w:p w:rsidR="005274B7" w:rsidRDefault="005274B7" w:rsidP="005274B7">
            <w:pPr>
              <w:jc w:val="center"/>
            </w:pPr>
            <w:r>
              <w:t>N</w:t>
            </w:r>
          </w:p>
        </w:tc>
        <w:tc>
          <w:tcPr>
            <w:tcW w:w="2010" w:type="dxa"/>
          </w:tcPr>
          <w:p w:rsidR="005274B7" w:rsidRDefault="005274B7" w:rsidP="005274B7">
            <w:pPr>
              <w:jc w:val="center"/>
            </w:pPr>
            <w:r>
              <w:t>Y</w:t>
            </w:r>
          </w:p>
        </w:tc>
      </w:tr>
      <w:tr w:rsidR="005274B7" w:rsidTr="005274B7">
        <w:tc>
          <w:tcPr>
            <w:tcW w:w="1800" w:type="dxa"/>
          </w:tcPr>
          <w:p w:rsidR="005274B7" w:rsidRDefault="005274B7" w:rsidP="005274B7">
            <w:r>
              <w:rPr>
                <w:iCs/>
              </w:rPr>
              <w:t>Target</w:t>
            </w:r>
            <w:r w:rsidRPr="00CE6D76">
              <w:rPr>
                <w:iCs/>
              </w:rPr>
              <w:t xml:space="preserve"> </w:t>
            </w:r>
            <w:r>
              <w:rPr>
                <w:iCs/>
              </w:rPr>
              <w:t>IAB-donor</w:t>
            </w:r>
          </w:p>
        </w:tc>
        <w:tc>
          <w:tcPr>
            <w:tcW w:w="1016" w:type="dxa"/>
          </w:tcPr>
          <w:p w:rsidR="005274B7" w:rsidRDefault="005274B7" w:rsidP="005274B7">
            <w:pPr>
              <w:jc w:val="center"/>
            </w:pPr>
            <w:r>
              <w:t>Y, New</w:t>
            </w:r>
          </w:p>
        </w:tc>
        <w:tc>
          <w:tcPr>
            <w:tcW w:w="2178" w:type="dxa"/>
          </w:tcPr>
          <w:p w:rsidR="005274B7" w:rsidRDefault="005274B7" w:rsidP="005274B7">
            <w:pPr>
              <w:jc w:val="center"/>
            </w:pPr>
            <w:r>
              <w:t>N</w:t>
            </w:r>
          </w:p>
        </w:tc>
        <w:tc>
          <w:tcPr>
            <w:tcW w:w="2101" w:type="dxa"/>
          </w:tcPr>
          <w:p w:rsidR="005274B7" w:rsidRDefault="005274B7" w:rsidP="005274B7">
            <w:pPr>
              <w:jc w:val="center"/>
            </w:pPr>
            <w:r>
              <w:t>Y</w:t>
            </w:r>
          </w:p>
        </w:tc>
        <w:tc>
          <w:tcPr>
            <w:tcW w:w="2010" w:type="dxa"/>
          </w:tcPr>
          <w:p w:rsidR="005274B7" w:rsidRDefault="005274B7" w:rsidP="005274B7">
            <w:pPr>
              <w:jc w:val="center"/>
            </w:pPr>
            <w:r>
              <w:t>Y</w:t>
            </w:r>
          </w:p>
        </w:tc>
      </w:tr>
    </w:tbl>
    <w:p w:rsidR="005308D2" w:rsidRDefault="005308D2" w:rsidP="005308D2">
      <w:pPr>
        <w:rPr>
          <w:b/>
          <w:sz w:val="18"/>
        </w:rPr>
      </w:pPr>
    </w:p>
    <w:p w:rsidR="00160342" w:rsidRPr="005308D2" w:rsidRDefault="005308D2">
      <w:pPr>
        <w:rPr>
          <w:b/>
          <w:sz w:val="18"/>
        </w:rPr>
      </w:pPr>
      <w:r w:rsidRPr="005308D2">
        <w:rPr>
          <w:b/>
          <w:sz w:val="18"/>
        </w:rPr>
        <w:t>Observation</w:t>
      </w:r>
      <w:r>
        <w:rPr>
          <w:b/>
          <w:sz w:val="18"/>
        </w:rPr>
        <w:t xml:space="preserve"> 3</w:t>
      </w:r>
      <w:r w:rsidRPr="005308D2">
        <w:rPr>
          <w:b/>
          <w:sz w:val="18"/>
        </w:rPr>
        <w:t xml:space="preserve">: </w:t>
      </w:r>
      <w:r>
        <w:rPr>
          <w:b/>
          <w:sz w:val="18"/>
        </w:rPr>
        <w:t>The K</w:t>
      </w:r>
      <w:r w:rsidRPr="005308D2">
        <w:rPr>
          <w:b/>
          <w:sz w:val="18"/>
          <w:vertAlign w:val="subscript"/>
        </w:rPr>
        <w:t>gNB</w:t>
      </w:r>
      <w:r>
        <w:rPr>
          <w:b/>
          <w:sz w:val="18"/>
        </w:rPr>
        <w:t xml:space="preserve"> in IAB-node and Source IAB-donor are different</w:t>
      </w:r>
      <w:r w:rsidR="009F23E7">
        <w:rPr>
          <w:b/>
          <w:sz w:val="18"/>
        </w:rPr>
        <w:t xml:space="preserve"> after the migration</w:t>
      </w:r>
      <w:r>
        <w:rPr>
          <w:b/>
          <w:sz w:val="18"/>
        </w:rPr>
        <w:t xml:space="preserve">, which results </w:t>
      </w:r>
      <w:r w:rsidRPr="005308D2">
        <w:rPr>
          <w:b/>
          <w:sz w:val="18"/>
        </w:rPr>
        <w:t xml:space="preserve">to the </w:t>
      </w:r>
      <w:r w:rsidR="00B11B0E">
        <w:rPr>
          <w:b/>
          <w:sz w:val="18"/>
        </w:rPr>
        <w:t>psk (</w:t>
      </w:r>
      <w:r w:rsidR="00B11B0E" w:rsidRPr="00B11B0E">
        <w:rPr>
          <w:b/>
          <w:sz w:val="18"/>
        </w:rPr>
        <w:t>K</w:t>
      </w:r>
      <w:r w:rsidR="00B11B0E" w:rsidRPr="00B11B0E">
        <w:rPr>
          <w:b/>
          <w:sz w:val="18"/>
          <w:vertAlign w:val="subscript"/>
        </w:rPr>
        <w:t>IAB</w:t>
      </w:r>
      <w:r w:rsidR="00B11B0E">
        <w:rPr>
          <w:b/>
          <w:sz w:val="18"/>
        </w:rPr>
        <w:t xml:space="preserve">) </w:t>
      </w:r>
      <w:r>
        <w:rPr>
          <w:b/>
          <w:sz w:val="18"/>
        </w:rPr>
        <w:t>mismatch between the</w:t>
      </w:r>
      <w:r>
        <w:t xml:space="preserve"> </w:t>
      </w:r>
      <w:r w:rsidRPr="005308D2">
        <w:rPr>
          <w:b/>
          <w:sz w:val="18"/>
        </w:rPr>
        <w:t>migrating IAB-node DU</w:t>
      </w:r>
      <w:r>
        <w:rPr>
          <w:b/>
          <w:sz w:val="18"/>
        </w:rPr>
        <w:t xml:space="preserve"> and s</w:t>
      </w:r>
      <w:r w:rsidRPr="005308D2">
        <w:rPr>
          <w:b/>
          <w:sz w:val="18"/>
        </w:rPr>
        <w:t>ource IAB-donor-CU</w:t>
      </w:r>
      <w:r>
        <w:rPr>
          <w:b/>
          <w:sz w:val="18"/>
        </w:rPr>
        <w:t>.</w:t>
      </w:r>
      <w:r w:rsidRPr="005308D2">
        <w:rPr>
          <w:b/>
          <w:sz w:val="18"/>
        </w:rPr>
        <w:t xml:space="preserve"> </w:t>
      </w:r>
      <w:r>
        <w:rPr>
          <w:b/>
          <w:sz w:val="18"/>
        </w:rPr>
        <w:t>The</w:t>
      </w:r>
      <w:r w:rsidRPr="005308D2">
        <w:rPr>
          <w:b/>
          <w:sz w:val="18"/>
        </w:rPr>
        <w:t xml:space="preserve"> IKEv2 PSK authentication fo</w:t>
      </w:r>
      <w:r>
        <w:rPr>
          <w:b/>
          <w:sz w:val="18"/>
        </w:rPr>
        <w:t>r the F1 connections will fail.</w:t>
      </w:r>
    </w:p>
    <w:p w:rsidR="00924363" w:rsidRDefault="0092436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3.4 </w:t>
      </w:r>
      <w:r w:rsidR="00880825">
        <w:rPr>
          <w:rFonts w:ascii="Arial" w:hAnsi="Arial" w:cs="Arial"/>
          <w:b/>
        </w:rPr>
        <w:t>P</w:t>
      </w:r>
      <w:r>
        <w:rPr>
          <w:rFonts w:ascii="Arial" w:hAnsi="Arial" w:cs="Arial"/>
          <w:b/>
        </w:rPr>
        <w:t>roposed solution</w:t>
      </w:r>
    </w:p>
    <w:p w:rsidR="00BD3078" w:rsidRDefault="00B11B0E">
      <w:pPr>
        <w:rPr>
          <w:iCs/>
        </w:rPr>
      </w:pPr>
      <w:r>
        <w:rPr>
          <w:sz w:val="18"/>
        </w:rPr>
        <w:t xml:space="preserve">As </w:t>
      </w:r>
      <w:r w:rsidRPr="00B11B0E">
        <w:rPr>
          <w:sz w:val="18"/>
        </w:rPr>
        <w:t>K</w:t>
      </w:r>
      <w:r w:rsidRPr="00B11B0E">
        <w:rPr>
          <w:sz w:val="18"/>
          <w:vertAlign w:val="subscript"/>
        </w:rPr>
        <w:t>gNB</w:t>
      </w:r>
      <w:r>
        <w:rPr>
          <w:iCs/>
        </w:rPr>
        <w:t xml:space="preserve"> is the root key for the air interface protection, the new </w:t>
      </w:r>
      <w:r w:rsidRPr="00B11B0E">
        <w:rPr>
          <w:sz w:val="18"/>
        </w:rPr>
        <w:t>K</w:t>
      </w:r>
      <w:r w:rsidRPr="00B11B0E">
        <w:rPr>
          <w:sz w:val="18"/>
          <w:vertAlign w:val="subscript"/>
        </w:rPr>
        <w:t>gNB</w:t>
      </w:r>
      <w:r>
        <w:rPr>
          <w:iCs/>
        </w:rPr>
        <w:t xml:space="preserve"> shall not be leaked from target IAB-donor to source IAB-donor. Considering the target IAB-donor having the new K</w:t>
      </w:r>
      <w:r w:rsidRPr="00B11B0E">
        <w:rPr>
          <w:iCs/>
          <w:vertAlign w:val="subscript"/>
        </w:rPr>
        <w:t>gNB</w:t>
      </w:r>
      <w:r>
        <w:rPr>
          <w:iCs/>
        </w:rPr>
        <w:t>, It’s proposed that target IAB-donor</w:t>
      </w:r>
      <w:r>
        <w:rPr>
          <w:rFonts w:hint="eastAsia"/>
          <w:iCs/>
          <w:lang w:eastAsia="zh-CN"/>
        </w:rPr>
        <w:t>-</w:t>
      </w:r>
      <w:r>
        <w:rPr>
          <w:iCs/>
        </w:rPr>
        <w:t xml:space="preserve">CU derives the new </w:t>
      </w:r>
      <w:r w:rsidRPr="007B0C8B">
        <w:t>K</w:t>
      </w:r>
      <w:r w:rsidRPr="007B0C8B">
        <w:rPr>
          <w:vertAlign w:val="subscript"/>
        </w:rPr>
        <w:t>I</w:t>
      </w:r>
      <w:r>
        <w:rPr>
          <w:vertAlign w:val="subscript"/>
        </w:rPr>
        <w:t>AB</w:t>
      </w:r>
      <w:r>
        <w:rPr>
          <w:iCs/>
        </w:rPr>
        <w:t xml:space="preserve"> for source IAB-donor</w:t>
      </w:r>
      <w:r>
        <w:rPr>
          <w:rFonts w:hint="eastAsia"/>
          <w:iCs/>
          <w:lang w:eastAsia="zh-CN"/>
        </w:rPr>
        <w:t>-</w:t>
      </w:r>
      <w:r>
        <w:rPr>
          <w:iCs/>
        </w:rPr>
        <w:t>CU, which will be beneficial for source IAB-donor</w:t>
      </w:r>
      <w:r>
        <w:rPr>
          <w:rFonts w:hint="eastAsia"/>
          <w:iCs/>
          <w:lang w:eastAsia="zh-CN"/>
        </w:rPr>
        <w:t>-</w:t>
      </w:r>
      <w:r>
        <w:rPr>
          <w:iCs/>
        </w:rPr>
        <w:t>CU in the</w:t>
      </w:r>
      <w:r w:rsidR="00534225" w:rsidRPr="00534225">
        <w:t xml:space="preserve"> </w:t>
      </w:r>
      <w:r w:rsidR="00534225" w:rsidRPr="00534225">
        <w:rPr>
          <w:iCs/>
        </w:rPr>
        <w:t>IKEv2 PSK</w:t>
      </w:r>
      <w:r>
        <w:rPr>
          <w:iCs/>
        </w:rPr>
        <w:t xml:space="preserve"> </w:t>
      </w:r>
      <w:r w:rsidRPr="00B11B0E">
        <w:rPr>
          <w:iCs/>
        </w:rPr>
        <w:t>authentication</w:t>
      </w:r>
      <w:r w:rsidR="00534225">
        <w:rPr>
          <w:iCs/>
        </w:rPr>
        <w:t>.</w:t>
      </w:r>
    </w:p>
    <w:p w:rsidR="00534225" w:rsidRDefault="00534225">
      <w:pPr>
        <w:rPr>
          <w:vertAlign w:val="subscript"/>
        </w:rPr>
      </w:pPr>
      <w:r>
        <w:rPr>
          <w:iCs/>
        </w:rPr>
        <w:t xml:space="preserve">To achive this, the </w:t>
      </w:r>
      <w:r w:rsidR="00695F46">
        <w:t>s</w:t>
      </w:r>
      <w:r>
        <w:t xml:space="preserve">ource </w:t>
      </w:r>
      <w:r w:rsidRPr="00880825">
        <w:t>IAB-donor-CU</w:t>
      </w:r>
      <w:r>
        <w:t xml:space="preserve"> will provide its own IP address to acquire the </w:t>
      </w:r>
      <w:r>
        <w:rPr>
          <w:iCs/>
        </w:rPr>
        <w:t xml:space="preserve">new </w:t>
      </w:r>
      <w:r w:rsidRPr="007B0C8B">
        <w:t>K</w:t>
      </w:r>
      <w:r w:rsidRPr="007B0C8B">
        <w:rPr>
          <w:vertAlign w:val="subscript"/>
        </w:rPr>
        <w:t>I</w:t>
      </w:r>
      <w:r>
        <w:rPr>
          <w:vertAlign w:val="subscript"/>
        </w:rPr>
        <w:t>AB</w:t>
      </w:r>
      <w:r>
        <w:rPr>
          <w:iCs/>
        </w:rPr>
        <w:t>. The target IAB-donor</w:t>
      </w:r>
      <w:r>
        <w:rPr>
          <w:rFonts w:hint="eastAsia"/>
          <w:iCs/>
          <w:lang w:eastAsia="zh-CN"/>
        </w:rPr>
        <w:t>-</w:t>
      </w:r>
      <w:r>
        <w:rPr>
          <w:iCs/>
        </w:rPr>
        <w:t>CU will derive the new</w:t>
      </w:r>
      <w:r w:rsidRPr="00534225">
        <w:t xml:space="preserve"> </w:t>
      </w:r>
      <w:r w:rsidRPr="007B0C8B">
        <w:t>K</w:t>
      </w:r>
      <w:r w:rsidRPr="007B0C8B">
        <w:rPr>
          <w:vertAlign w:val="subscript"/>
        </w:rPr>
        <w:t>I</w:t>
      </w:r>
      <w:r>
        <w:rPr>
          <w:vertAlign w:val="subscript"/>
        </w:rPr>
        <w:t>AB</w:t>
      </w:r>
      <w:r>
        <w:rPr>
          <w:iCs/>
        </w:rPr>
        <w:t xml:space="preserve"> using new K</w:t>
      </w:r>
      <w:r w:rsidRPr="00B11B0E">
        <w:rPr>
          <w:iCs/>
          <w:vertAlign w:val="subscript"/>
        </w:rPr>
        <w:t>gNB</w:t>
      </w:r>
      <w:r>
        <w:rPr>
          <w:iCs/>
        </w:rPr>
        <w:t xml:space="preserve"> and IP address of the </w:t>
      </w:r>
      <w:r>
        <w:t xml:space="preserve">source </w:t>
      </w:r>
      <w:r w:rsidRPr="00880825">
        <w:t>IAB-donor-CU</w:t>
      </w:r>
      <w:r>
        <w:t xml:space="preserve"> as well as IAB-node DU. After source </w:t>
      </w:r>
      <w:r w:rsidRPr="00880825">
        <w:t>IAB-donor-CU</w:t>
      </w:r>
      <w:r>
        <w:t xml:space="preserve"> recived the </w:t>
      </w:r>
      <w:r>
        <w:rPr>
          <w:iCs/>
        </w:rPr>
        <w:t>new</w:t>
      </w:r>
      <w:r w:rsidRPr="00534225">
        <w:t xml:space="preserve"> </w:t>
      </w:r>
      <w:r w:rsidRPr="007B0C8B">
        <w:t>K</w:t>
      </w:r>
      <w:r w:rsidRPr="007B0C8B">
        <w:rPr>
          <w:vertAlign w:val="subscript"/>
        </w:rPr>
        <w:t>I</w:t>
      </w:r>
      <w:r>
        <w:rPr>
          <w:vertAlign w:val="subscript"/>
        </w:rPr>
        <w:t>AB</w:t>
      </w:r>
      <w:r>
        <w:rPr>
          <w:b/>
          <w:sz w:val="18"/>
        </w:rPr>
        <w:t xml:space="preserve">, </w:t>
      </w:r>
      <w:r w:rsidRPr="00534225">
        <w:rPr>
          <w:sz w:val="18"/>
        </w:rPr>
        <w:t>the IKEv2 PSK authentication for the F1-C and F1-U connections will</w:t>
      </w:r>
      <w:r>
        <w:rPr>
          <w:sz w:val="18"/>
        </w:rPr>
        <w:t xml:space="preserve"> be performed with the new </w:t>
      </w:r>
      <w:r w:rsidRPr="007B0C8B">
        <w:t>K</w:t>
      </w:r>
      <w:r w:rsidRPr="007B0C8B">
        <w:rPr>
          <w:vertAlign w:val="subscript"/>
        </w:rPr>
        <w:t>I</w:t>
      </w:r>
      <w:r>
        <w:rPr>
          <w:vertAlign w:val="subscript"/>
        </w:rPr>
        <w:t>AB.</w:t>
      </w:r>
    </w:p>
    <w:p w:rsidR="00AE05B0" w:rsidRDefault="00534225">
      <w:pPr>
        <w:rPr>
          <w:b/>
          <w:sz w:val="18"/>
        </w:rPr>
      </w:pPr>
      <w:r>
        <w:rPr>
          <w:b/>
          <w:sz w:val="18"/>
        </w:rPr>
        <w:lastRenderedPageBreak/>
        <w:t>Proposal 1</w:t>
      </w:r>
      <w:r w:rsidRPr="005308D2">
        <w:rPr>
          <w:b/>
          <w:sz w:val="18"/>
        </w:rPr>
        <w:t xml:space="preserve">: </w:t>
      </w:r>
      <w:r>
        <w:rPr>
          <w:b/>
          <w:sz w:val="18"/>
        </w:rPr>
        <w:t xml:space="preserve">It’s proposed </w:t>
      </w:r>
      <w:r w:rsidR="00AE05B0">
        <w:rPr>
          <w:b/>
          <w:sz w:val="18"/>
        </w:rPr>
        <w:t xml:space="preserve">that </w:t>
      </w:r>
      <w:r w:rsidR="00AE05B0" w:rsidRPr="00AE05B0">
        <w:rPr>
          <w:b/>
          <w:sz w:val="18"/>
        </w:rPr>
        <w:t>target IAB-donor-CU derives the new K</w:t>
      </w:r>
      <w:r w:rsidR="00AE05B0" w:rsidRPr="00AE05B0">
        <w:rPr>
          <w:b/>
          <w:sz w:val="18"/>
          <w:vertAlign w:val="subscript"/>
        </w:rPr>
        <w:t>IAB</w:t>
      </w:r>
      <w:r w:rsidR="00AE05B0" w:rsidRPr="00AE05B0">
        <w:rPr>
          <w:b/>
          <w:sz w:val="18"/>
        </w:rPr>
        <w:t xml:space="preserve"> </w:t>
      </w:r>
      <w:r w:rsidR="0042447B">
        <w:rPr>
          <w:b/>
          <w:sz w:val="18"/>
        </w:rPr>
        <w:t xml:space="preserve">using IP address of the </w:t>
      </w:r>
      <w:r w:rsidR="00AE05B0" w:rsidRPr="00AE05B0">
        <w:rPr>
          <w:b/>
          <w:sz w:val="18"/>
        </w:rPr>
        <w:t>source IAB-donor-CU</w:t>
      </w:r>
      <w:r w:rsidR="0042447B">
        <w:rPr>
          <w:b/>
          <w:sz w:val="18"/>
        </w:rPr>
        <w:t xml:space="preserve"> and provides the new </w:t>
      </w:r>
      <w:r w:rsidR="0042447B" w:rsidRPr="00AE05B0">
        <w:rPr>
          <w:b/>
          <w:sz w:val="18"/>
        </w:rPr>
        <w:t>K</w:t>
      </w:r>
      <w:r w:rsidR="0042447B" w:rsidRPr="00AE05B0">
        <w:rPr>
          <w:b/>
          <w:sz w:val="18"/>
          <w:vertAlign w:val="subscript"/>
        </w:rPr>
        <w:t>IAB</w:t>
      </w:r>
      <w:r w:rsidR="0042447B">
        <w:rPr>
          <w:b/>
          <w:sz w:val="18"/>
        </w:rPr>
        <w:t xml:space="preserve"> to the </w:t>
      </w:r>
      <w:r w:rsidR="0042447B" w:rsidRPr="00AE05B0">
        <w:rPr>
          <w:b/>
          <w:sz w:val="18"/>
        </w:rPr>
        <w:t>source IAB-donor-CU</w:t>
      </w:r>
      <w:r w:rsidR="0042447B">
        <w:rPr>
          <w:b/>
          <w:sz w:val="18"/>
        </w:rPr>
        <w:t>.</w:t>
      </w:r>
    </w:p>
    <w:p w:rsidR="00534225" w:rsidRPr="00534225" w:rsidRDefault="00AE05B0">
      <w:pPr>
        <w:rPr>
          <w:b/>
          <w:sz w:val="18"/>
        </w:rPr>
      </w:pPr>
      <w:r>
        <w:rPr>
          <w:b/>
          <w:sz w:val="18"/>
        </w:rPr>
        <w:t xml:space="preserve">Proposal 2: It’s proposed </w:t>
      </w:r>
      <w:r w:rsidRPr="00AE05B0">
        <w:rPr>
          <w:b/>
          <w:sz w:val="18"/>
        </w:rPr>
        <w:t>that SA3 approved the CR in S3-22xxxx and the LS to RAN3 in S3-22xxxx</w:t>
      </w:r>
      <w:r w:rsidR="00534225">
        <w:rPr>
          <w:b/>
          <w:sz w:val="18"/>
        </w:rPr>
        <w:t>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AE05B0" w:rsidRDefault="00AE05B0" w:rsidP="00AE05B0">
      <w:pPr>
        <w:rPr>
          <w:b/>
          <w:sz w:val="18"/>
        </w:rPr>
      </w:pPr>
      <w:r w:rsidRPr="005308D2">
        <w:rPr>
          <w:b/>
          <w:sz w:val="18"/>
        </w:rPr>
        <w:t>Observation</w:t>
      </w:r>
      <w:r w:rsidR="004C77E8">
        <w:rPr>
          <w:b/>
          <w:sz w:val="18"/>
        </w:rPr>
        <w:t xml:space="preserve"> 1</w:t>
      </w:r>
      <w:r w:rsidRPr="005308D2">
        <w:rPr>
          <w:b/>
          <w:sz w:val="18"/>
        </w:rPr>
        <w:t xml:space="preserve">: </w:t>
      </w:r>
      <w:r>
        <w:rPr>
          <w:b/>
          <w:sz w:val="18"/>
        </w:rPr>
        <w:t>T</w:t>
      </w:r>
      <w:r w:rsidRPr="005308D2">
        <w:rPr>
          <w:b/>
          <w:sz w:val="18"/>
        </w:rPr>
        <w:t>he new IP address of the migrating IAB-node DU will be taken into use</w:t>
      </w:r>
      <w:r w:rsidR="004C77E8" w:rsidRPr="004C77E8">
        <w:rPr>
          <w:b/>
          <w:sz w:val="18"/>
        </w:rPr>
        <w:t xml:space="preserve"> </w:t>
      </w:r>
      <w:r w:rsidR="004C77E8">
        <w:rPr>
          <w:b/>
          <w:sz w:val="18"/>
        </w:rPr>
        <w:t>during t</w:t>
      </w:r>
      <w:r w:rsidR="004C77E8">
        <w:rPr>
          <w:rFonts w:hint="eastAsia"/>
          <w:b/>
          <w:sz w:val="18"/>
          <w:lang w:eastAsia="zh-CN"/>
        </w:rPr>
        <w:t>h</w:t>
      </w:r>
      <w:r w:rsidR="004C77E8">
        <w:rPr>
          <w:b/>
          <w:sz w:val="18"/>
          <w:lang w:eastAsia="zh-CN"/>
        </w:rPr>
        <w:t>e migration</w:t>
      </w:r>
      <w:r w:rsidRPr="005308D2">
        <w:rPr>
          <w:b/>
          <w:sz w:val="18"/>
        </w:rPr>
        <w:t xml:space="preserve"> fo</w:t>
      </w:r>
      <w:r w:rsidR="004C77E8">
        <w:rPr>
          <w:b/>
          <w:sz w:val="18"/>
        </w:rPr>
        <w:t>r the F1</w:t>
      </w:r>
      <w:r>
        <w:rPr>
          <w:b/>
          <w:sz w:val="18"/>
        </w:rPr>
        <w:t xml:space="preserve"> connections</w:t>
      </w:r>
      <w:r w:rsidR="004C77E8">
        <w:rPr>
          <w:b/>
          <w:sz w:val="18"/>
        </w:rPr>
        <w:t xml:space="preserve"> between the</w:t>
      </w:r>
      <w:r w:rsidR="004C77E8">
        <w:t xml:space="preserve"> </w:t>
      </w:r>
      <w:r w:rsidR="004C77E8" w:rsidRPr="005308D2">
        <w:rPr>
          <w:b/>
          <w:sz w:val="18"/>
        </w:rPr>
        <w:t>migrating IAB-node DU</w:t>
      </w:r>
      <w:r w:rsidR="004C77E8">
        <w:rPr>
          <w:b/>
          <w:sz w:val="18"/>
        </w:rPr>
        <w:t xml:space="preserve"> and s</w:t>
      </w:r>
      <w:r w:rsidR="004C77E8" w:rsidRPr="005308D2">
        <w:rPr>
          <w:b/>
          <w:sz w:val="18"/>
        </w:rPr>
        <w:t>ource IAB-donor-CU</w:t>
      </w:r>
      <w:r>
        <w:rPr>
          <w:b/>
          <w:sz w:val="18"/>
        </w:rPr>
        <w:t>.</w:t>
      </w:r>
    </w:p>
    <w:p w:rsidR="004C77E8" w:rsidRPr="005308D2" w:rsidRDefault="004C77E8" w:rsidP="004C77E8">
      <w:pPr>
        <w:rPr>
          <w:b/>
          <w:sz w:val="18"/>
        </w:rPr>
      </w:pPr>
      <w:r w:rsidRPr="005308D2">
        <w:rPr>
          <w:b/>
          <w:sz w:val="18"/>
        </w:rPr>
        <w:t>Observation</w:t>
      </w:r>
      <w:r>
        <w:rPr>
          <w:b/>
          <w:sz w:val="18"/>
        </w:rPr>
        <w:t xml:space="preserve"> 2</w:t>
      </w:r>
      <w:r w:rsidRPr="005308D2">
        <w:rPr>
          <w:b/>
          <w:sz w:val="18"/>
        </w:rPr>
        <w:t>: IAB-node DU IP address</w:t>
      </w:r>
      <w:r>
        <w:rPr>
          <w:b/>
          <w:sz w:val="18"/>
        </w:rPr>
        <w:t xml:space="preserve"> is used as input parameter in the </w:t>
      </w:r>
      <w:r w:rsidRPr="005308D2">
        <w:rPr>
          <w:b/>
          <w:sz w:val="18"/>
        </w:rPr>
        <w:t>K</w:t>
      </w:r>
      <w:r w:rsidRPr="005308D2">
        <w:rPr>
          <w:b/>
          <w:sz w:val="18"/>
          <w:vertAlign w:val="subscript"/>
        </w:rPr>
        <w:t>IAB</w:t>
      </w:r>
      <w:r w:rsidRPr="005308D2">
        <w:rPr>
          <w:b/>
          <w:sz w:val="18"/>
        </w:rPr>
        <w:t xml:space="preserve"> derivation</w:t>
      </w:r>
      <w:r>
        <w:rPr>
          <w:b/>
          <w:sz w:val="18"/>
        </w:rPr>
        <w:t>.</w:t>
      </w:r>
    </w:p>
    <w:p w:rsidR="004C77E8" w:rsidRPr="005308D2" w:rsidRDefault="004C77E8" w:rsidP="00AE05B0">
      <w:pPr>
        <w:rPr>
          <w:b/>
          <w:sz w:val="18"/>
        </w:rPr>
      </w:pPr>
      <w:r w:rsidRPr="005308D2">
        <w:rPr>
          <w:b/>
          <w:sz w:val="18"/>
        </w:rPr>
        <w:t>Observation</w:t>
      </w:r>
      <w:r>
        <w:rPr>
          <w:b/>
          <w:sz w:val="18"/>
        </w:rPr>
        <w:t xml:space="preserve"> 3</w:t>
      </w:r>
      <w:r w:rsidRPr="005308D2">
        <w:rPr>
          <w:b/>
          <w:sz w:val="18"/>
        </w:rPr>
        <w:t xml:space="preserve">: </w:t>
      </w:r>
      <w:r>
        <w:rPr>
          <w:b/>
          <w:sz w:val="18"/>
        </w:rPr>
        <w:t>The old</w:t>
      </w:r>
      <w:r w:rsidRPr="004C77E8">
        <w:rPr>
          <w:b/>
          <w:sz w:val="18"/>
        </w:rPr>
        <w:t xml:space="preserve"> </w:t>
      </w:r>
      <w:r w:rsidRPr="005308D2">
        <w:rPr>
          <w:b/>
          <w:sz w:val="18"/>
        </w:rPr>
        <w:t>K</w:t>
      </w:r>
      <w:r w:rsidRPr="005308D2">
        <w:rPr>
          <w:b/>
          <w:sz w:val="18"/>
          <w:vertAlign w:val="subscript"/>
        </w:rPr>
        <w:t>IAB</w:t>
      </w:r>
      <w:r>
        <w:rPr>
          <w:b/>
          <w:sz w:val="18"/>
        </w:rPr>
        <w:t xml:space="preserve"> derived with old </w:t>
      </w:r>
      <w:r w:rsidRPr="005308D2">
        <w:rPr>
          <w:b/>
          <w:sz w:val="18"/>
        </w:rPr>
        <w:t xml:space="preserve">IP address of the migrating IAB-node DU </w:t>
      </w:r>
      <w:r>
        <w:rPr>
          <w:b/>
          <w:sz w:val="18"/>
        </w:rPr>
        <w:t>cannot be used for F1 connections during t</w:t>
      </w:r>
      <w:r>
        <w:rPr>
          <w:rFonts w:hint="eastAsia"/>
          <w:b/>
          <w:sz w:val="18"/>
          <w:lang w:eastAsia="zh-CN"/>
        </w:rPr>
        <w:t>h</w:t>
      </w:r>
      <w:r>
        <w:rPr>
          <w:b/>
          <w:sz w:val="18"/>
          <w:lang w:eastAsia="zh-CN"/>
        </w:rPr>
        <w:t>e migration</w:t>
      </w:r>
      <w:r w:rsidRPr="004C77E8">
        <w:rPr>
          <w:b/>
          <w:sz w:val="18"/>
          <w:lang w:eastAsia="zh-CN"/>
        </w:rPr>
        <w:t xml:space="preserve"> </w:t>
      </w:r>
      <w:r>
        <w:rPr>
          <w:b/>
          <w:sz w:val="18"/>
          <w:lang w:eastAsia="zh-CN"/>
        </w:rPr>
        <w:t>as the IP address is already changed.</w:t>
      </w:r>
    </w:p>
    <w:p w:rsidR="00AE05B0" w:rsidRPr="005308D2" w:rsidRDefault="00AE05B0" w:rsidP="00AE05B0">
      <w:pPr>
        <w:rPr>
          <w:b/>
          <w:sz w:val="18"/>
        </w:rPr>
      </w:pPr>
      <w:r w:rsidRPr="005308D2">
        <w:rPr>
          <w:b/>
          <w:sz w:val="18"/>
        </w:rPr>
        <w:t>Observation</w:t>
      </w:r>
      <w:r w:rsidR="004C77E8">
        <w:rPr>
          <w:b/>
          <w:sz w:val="18"/>
        </w:rPr>
        <w:t xml:space="preserve"> 4</w:t>
      </w:r>
      <w:r w:rsidRPr="005308D2">
        <w:rPr>
          <w:b/>
          <w:sz w:val="18"/>
        </w:rPr>
        <w:t xml:space="preserve">: </w:t>
      </w:r>
      <w:r>
        <w:rPr>
          <w:b/>
          <w:sz w:val="18"/>
        </w:rPr>
        <w:t>The K</w:t>
      </w:r>
      <w:r w:rsidRPr="005308D2">
        <w:rPr>
          <w:b/>
          <w:sz w:val="18"/>
          <w:vertAlign w:val="subscript"/>
        </w:rPr>
        <w:t>gNB</w:t>
      </w:r>
      <w:r>
        <w:rPr>
          <w:b/>
          <w:sz w:val="18"/>
        </w:rPr>
        <w:t xml:space="preserve"> in IAB-node and Source IAB-donor are different, which results </w:t>
      </w:r>
      <w:r w:rsidRPr="005308D2">
        <w:rPr>
          <w:b/>
          <w:sz w:val="18"/>
        </w:rPr>
        <w:t xml:space="preserve">to the </w:t>
      </w:r>
      <w:r w:rsidR="004C77E8">
        <w:rPr>
          <w:b/>
          <w:sz w:val="18"/>
        </w:rPr>
        <w:t xml:space="preserve">new </w:t>
      </w:r>
      <w:r>
        <w:rPr>
          <w:b/>
          <w:sz w:val="18"/>
        </w:rPr>
        <w:t>psk (</w:t>
      </w:r>
      <w:r w:rsidRPr="00B11B0E">
        <w:rPr>
          <w:b/>
          <w:sz w:val="18"/>
        </w:rPr>
        <w:t>K</w:t>
      </w:r>
      <w:r w:rsidRPr="00B11B0E">
        <w:rPr>
          <w:b/>
          <w:sz w:val="18"/>
          <w:vertAlign w:val="subscript"/>
        </w:rPr>
        <w:t>IAB</w:t>
      </w:r>
      <w:r>
        <w:rPr>
          <w:b/>
          <w:sz w:val="18"/>
        </w:rPr>
        <w:t>) mismatch between the</w:t>
      </w:r>
      <w:r>
        <w:t xml:space="preserve"> </w:t>
      </w:r>
      <w:r w:rsidRPr="005308D2">
        <w:rPr>
          <w:b/>
          <w:sz w:val="18"/>
        </w:rPr>
        <w:t>migrating IAB-node DU</w:t>
      </w:r>
      <w:r>
        <w:rPr>
          <w:b/>
          <w:sz w:val="18"/>
        </w:rPr>
        <w:t xml:space="preserve"> and s</w:t>
      </w:r>
      <w:r w:rsidRPr="005308D2">
        <w:rPr>
          <w:b/>
          <w:sz w:val="18"/>
        </w:rPr>
        <w:t>ource IAB-donor-CU</w:t>
      </w:r>
      <w:r>
        <w:rPr>
          <w:b/>
          <w:sz w:val="18"/>
        </w:rPr>
        <w:t>.</w:t>
      </w:r>
      <w:r w:rsidRPr="005308D2">
        <w:rPr>
          <w:b/>
          <w:sz w:val="18"/>
        </w:rPr>
        <w:t xml:space="preserve"> </w:t>
      </w:r>
      <w:r>
        <w:rPr>
          <w:b/>
          <w:sz w:val="18"/>
        </w:rPr>
        <w:t>The</w:t>
      </w:r>
      <w:r w:rsidRPr="005308D2">
        <w:rPr>
          <w:b/>
          <w:sz w:val="18"/>
        </w:rPr>
        <w:t xml:space="preserve"> IKEv2 PSK authentication fo</w:t>
      </w:r>
      <w:r>
        <w:rPr>
          <w:b/>
          <w:sz w:val="18"/>
        </w:rPr>
        <w:t xml:space="preserve">r the F1 connections </w:t>
      </w:r>
      <w:r w:rsidR="004C77E8">
        <w:rPr>
          <w:b/>
          <w:sz w:val="18"/>
        </w:rPr>
        <w:t>during t</w:t>
      </w:r>
      <w:r w:rsidR="004C77E8">
        <w:rPr>
          <w:rFonts w:hint="eastAsia"/>
          <w:b/>
          <w:sz w:val="18"/>
          <w:lang w:eastAsia="zh-CN"/>
        </w:rPr>
        <w:t>h</w:t>
      </w:r>
      <w:r w:rsidR="004C77E8">
        <w:rPr>
          <w:b/>
          <w:sz w:val="18"/>
          <w:lang w:eastAsia="zh-CN"/>
        </w:rPr>
        <w:t>e migration</w:t>
      </w:r>
      <w:r w:rsidR="004C77E8">
        <w:rPr>
          <w:b/>
          <w:sz w:val="18"/>
        </w:rPr>
        <w:t xml:space="preserve"> </w:t>
      </w:r>
      <w:r>
        <w:rPr>
          <w:b/>
          <w:sz w:val="18"/>
        </w:rPr>
        <w:t>will fail.</w:t>
      </w:r>
    </w:p>
    <w:p w:rsidR="00AE05B0" w:rsidRDefault="00AE05B0" w:rsidP="00AE05B0">
      <w:pPr>
        <w:rPr>
          <w:b/>
          <w:sz w:val="18"/>
        </w:rPr>
      </w:pPr>
      <w:r>
        <w:rPr>
          <w:b/>
          <w:sz w:val="18"/>
        </w:rPr>
        <w:t>Proposal 1</w:t>
      </w:r>
      <w:r w:rsidRPr="005308D2">
        <w:rPr>
          <w:b/>
          <w:sz w:val="18"/>
        </w:rPr>
        <w:t xml:space="preserve">: </w:t>
      </w:r>
      <w:r w:rsidR="0042447B">
        <w:rPr>
          <w:b/>
          <w:sz w:val="18"/>
        </w:rPr>
        <w:t xml:space="preserve">It’s proposed that </w:t>
      </w:r>
      <w:r w:rsidR="0042447B" w:rsidRPr="00AE05B0">
        <w:rPr>
          <w:b/>
          <w:sz w:val="18"/>
        </w:rPr>
        <w:t>target IAB-donor-CU derives the new K</w:t>
      </w:r>
      <w:r w:rsidR="0042447B" w:rsidRPr="00AE05B0">
        <w:rPr>
          <w:b/>
          <w:sz w:val="18"/>
          <w:vertAlign w:val="subscript"/>
        </w:rPr>
        <w:t>IAB</w:t>
      </w:r>
      <w:r w:rsidR="0042447B" w:rsidRPr="00AE05B0">
        <w:rPr>
          <w:b/>
          <w:sz w:val="18"/>
        </w:rPr>
        <w:t xml:space="preserve"> </w:t>
      </w:r>
      <w:r w:rsidR="0042447B">
        <w:rPr>
          <w:b/>
          <w:sz w:val="18"/>
        </w:rPr>
        <w:t xml:space="preserve">using IP address of the </w:t>
      </w:r>
      <w:r w:rsidR="0042447B" w:rsidRPr="00AE05B0">
        <w:rPr>
          <w:b/>
          <w:sz w:val="18"/>
        </w:rPr>
        <w:t>source IAB-donor-CU</w:t>
      </w:r>
      <w:r w:rsidR="0042447B">
        <w:rPr>
          <w:b/>
          <w:sz w:val="18"/>
        </w:rPr>
        <w:t xml:space="preserve"> and provides the new </w:t>
      </w:r>
      <w:r w:rsidR="0042447B" w:rsidRPr="00AE05B0">
        <w:rPr>
          <w:b/>
          <w:sz w:val="18"/>
        </w:rPr>
        <w:t>K</w:t>
      </w:r>
      <w:r w:rsidR="0042447B" w:rsidRPr="00AE05B0">
        <w:rPr>
          <w:b/>
          <w:sz w:val="18"/>
          <w:vertAlign w:val="subscript"/>
        </w:rPr>
        <w:t>IAB</w:t>
      </w:r>
      <w:r w:rsidR="0042447B">
        <w:rPr>
          <w:b/>
          <w:sz w:val="18"/>
        </w:rPr>
        <w:t xml:space="preserve"> to the </w:t>
      </w:r>
      <w:r w:rsidR="0042447B" w:rsidRPr="00AE05B0">
        <w:rPr>
          <w:b/>
          <w:sz w:val="18"/>
        </w:rPr>
        <w:t>source IAB-donor-CU</w:t>
      </w:r>
      <w:r w:rsidR="0042447B">
        <w:rPr>
          <w:b/>
          <w:sz w:val="18"/>
        </w:rPr>
        <w:t>.</w:t>
      </w:r>
    </w:p>
    <w:p w:rsidR="00AE05B0" w:rsidRPr="00534225" w:rsidRDefault="00AE05B0" w:rsidP="00AE05B0">
      <w:pPr>
        <w:rPr>
          <w:b/>
          <w:sz w:val="18"/>
        </w:rPr>
      </w:pPr>
      <w:r>
        <w:rPr>
          <w:b/>
          <w:sz w:val="18"/>
        </w:rPr>
        <w:t xml:space="preserve">Proposal 2: It’s proposed </w:t>
      </w:r>
      <w:r w:rsidRPr="00AE05B0">
        <w:rPr>
          <w:b/>
          <w:sz w:val="18"/>
        </w:rPr>
        <w:t>that SA3 approved the CR in S3-22xxxx and the LS to RAN3 in S3-22xxxx</w:t>
      </w:r>
      <w:r>
        <w:rPr>
          <w:b/>
          <w:sz w:val="18"/>
        </w:rPr>
        <w:t>.</w:t>
      </w:r>
    </w:p>
    <w:p w:rsidR="00C022E3" w:rsidRPr="00644E3B" w:rsidRDefault="00C022E3" w:rsidP="00AE05B0">
      <w:pPr>
        <w:rPr>
          <w:iCs/>
        </w:rPr>
      </w:pPr>
    </w:p>
    <w:sectPr w:rsidR="00C022E3" w:rsidRPr="00644E3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01DF" w:rsidRDefault="00DA01DF">
      <w:r>
        <w:separator/>
      </w:r>
    </w:p>
  </w:endnote>
  <w:endnote w:type="continuationSeparator" w:id="0">
    <w:p w:rsidR="00DA01DF" w:rsidRDefault="00DA0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01DF" w:rsidRDefault="00DA01DF">
      <w:r>
        <w:separator/>
      </w:r>
    </w:p>
  </w:footnote>
  <w:footnote w:type="continuationSeparator" w:id="0">
    <w:p w:rsidR="00DA01DF" w:rsidRDefault="00DA01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0291C70"/>
    <w:multiLevelType w:val="hybridMultilevel"/>
    <w:tmpl w:val="35A2D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5191F1E"/>
    <w:multiLevelType w:val="hybridMultilevel"/>
    <w:tmpl w:val="FCD06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F9030F1"/>
    <w:multiLevelType w:val="hybridMultilevel"/>
    <w:tmpl w:val="95323A2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0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15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46389"/>
    <w:rsid w:val="00074722"/>
    <w:rsid w:val="000819D8"/>
    <w:rsid w:val="00092E4D"/>
    <w:rsid w:val="000934A6"/>
    <w:rsid w:val="000A2C6C"/>
    <w:rsid w:val="000A4660"/>
    <w:rsid w:val="000A6C2E"/>
    <w:rsid w:val="000D1B5B"/>
    <w:rsid w:val="0010401F"/>
    <w:rsid w:val="00112FC3"/>
    <w:rsid w:val="00160342"/>
    <w:rsid w:val="00173FA3"/>
    <w:rsid w:val="00184B6F"/>
    <w:rsid w:val="001861E5"/>
    <w:rsid w:val="001B1652"/>
    <w:rsid w:val="001C3235"/>
    <w:rsid w:val="001C3EC8"/>
    <w:rsid w:val="001D1F4A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848F7"/>
    <w:rsid w:val="002A1857"/>
    <w:rsid w:val="002C79D7"/>
    <w:rsid w:val="002C7F38"/>
    <w:rsid w:val="0030628A"/>
    <w:rsid w:val="003156FA"/>
    <w:rsid w:val="00340C10"/>
    <w:rsid w:val="0035122B"/>
    <w:rsid w:val="00353451"/>
    <w:rsid w:val="00371032"/>
    <w:rsid w:val="00371B44"/>
    <w:rsid w:val="00387D4B"/>
    <w:rsid w:val="003C122B"/>
    <w:rsid w:val="003C5A97"/>
    <w:rsid w:val="003C7A04"/>
    <w:rsid w:val="003F52B2"/>
    <w:rsid w:val="00401F14"/>
    <w:rsid w:val="00410F26"/>
    <w:rsid w:val="0042447B"/>
    <w:rsid w:val="00440414"/>
    <w:rsid w:val="004558E9"/>
    <w:rsid w:val="0045777E"/>
    <w:rsid w:val="00480DAA"/>
    <w:rsid w:val="004A60F8"/>
    <w:rsid w:val="004B3753"/>
    <w:rsid w:val="004C31D2"/>
    <w:rsid w:val="004C77E8"/>
    <w:rsid w:val="004D427F"/>
    <w:rsid w:val="004D55C2"/>
    <w:rsid w:val="00521131"/>
    <w:rsid w:val="005274B7"/>
    <w:rsid w:val="00527C0B"/>
    <w:rsid w:val="005308D2"/>
    <w:rsid w:val="00534225"/>
    <w:rsid w:val="005410F6"/>
    <w:rsid w:val="005729C4"/>
    <w:rsid w:val="00574DEF"/>
    <w:rsid w:val="0059227B"/>
    <w:rsid w:val="005B0966"/>
    <w:rsid w:val="005B795D"/>
    <w:rsid w:val="00613820"/>
    <w:rsid w:val="00617ED7"/>
    <w:rsid w:val="00644E3B"/>
    <w:rsid w:val="00652248"/>
    <w:rsid w:val="00657B80"/>
    <w:rsid w:val="00675B3C"/>
    <w:rsid w:val="0069495C"/>
    <w:rsid w:val="00695F46"/>
    <w:rsid w:val="006D340A"/>
    <w:rsid w:val="006E1695"/>
    <w:rsid w:val="006E62BF"/>
    <w:rsid w:val="006F2093"/>
    <w:rsid w:val="00715A1D"/>
    <w:rsid w:val="00760BB0"/>
    <w:rsid w:val="0076157A"/>
    <w:rsid w:val="00772A6E"/>
    <w:rsid w:val="00784593"/>
    <w:rsid w:val="007A00EF"/>
    <w:rsid w:val="007A0E84"/>
    <w:rsid w:val="007B19EA"/>
    <w:rsid w:val="007C0A2D"/>
    <w:rsid w:val="007C27B0"/>
    <w:rsid w:val="007D55AD"/>
    <w:rsid w:val="007F300B"/>
    <w:rsid w:val="008014C3"/>
    <w:rsid w:val="00823C67"/>
    <w:rsid w:val="00850812"/>
    <w:rsid w:val="008607F1"/>
    <w:rsid w:val="00876B9A"/>
    <w:rsid w:val="00880825"/>
    <w:rsid w:val="008933BF"/>
    <w:rsid w:val="008A10C4"/>
    <w:rsid w:val="008B0248"/>
    <w:rsid w:val="008F25F2"/>
    <w:rsid w:val="008F5F33"/>
    <w:rsid w:val="00903AD3"/>
    <w:rsid w:val="0091046A"/>
    <w:rsid w:val="00924363"/>
    <w:rsid w:val="00926ABD"/>
    <w:rsid w:val="00947F4E"/>
    <w:rsid w:val="00966D47"/>
    <w:rsid w:val="00992312"/>
    <w:rsid w:val="009C0DED"/>
    <w:rsid w:val="009F23E7"/>
    <w:rsid w:val="009F2CAB"/>
    <w:rsid w:val="00A37D7F"/>
    <w:rsid w:val="00A46410"/>
    <w:rsid w:val="00A57688"/>
    <w:rsid w:val="00A84A94"/>
    <w:rsid w:val="00A91828"/>
    <w:rsid w:val="00AB2682"/>
    <w:rsid w:val="00AD1DAA"/>
    <w:rsid w:val="00AE05B0"/>
    <w:rsid w:val="00AE5EDE"/>
    <w:rsid w:val="00AF1E23"/>
    <w:rsid w:val="00AF7F81"/>
    <w:rsid w:val="00B01AFF"/>
    <w:rsid w:val="00B05CC7"/>
    <w:rsid w:val="00B11B0E"/>
    <w:rsid w:val="00B15291"/>
    <w:rsid w:val="00B27779"/>
    <w:rsid w:val="00B27E39"/>
    <w:rsid w:val="00B350D8"/>
    <w:rsid w:val="00B652ED"/>
    <w:rsid w:val="00B76763"/>
    <w:rsid w:val="00B7732B"/>
    <w:rsid w:val="00B879F0"/>
    <w:rsid w:val="00BA6149"/>
    <w:rsid w:val="00BC25AA"/>
    <w:rsid w:val="00BD3078"/>
    <w:rsid w:val="00C022E3"/>
    <w:rsid w:val="00C22C7F"/>
    <w:rsid w:val="00C451EE"/>
    <w:rsid w:val="00C4712D"/>
    <w:rsid w:val="00C555C9"/>
    <w:rsid w:val="00C94F55"/>
    <w:rsid w:val="00CA7D62"/>
    <w:rsid w:val="00CB07A8"/>
    <w:rsid w:val="00CD2824"/>
    <w:rsid w:val="00CD4A57"/>
    <w:rsid w:val="00CD509C"/>
    <w:rsid w:val="00CE6D76"/>
    <w:rsid w:val="00D33250"/>
    <w:rsid w:val="00D33604"/>
    <w:rsid w:val="00D37B08"/>
    <w:rsid w:val="00D437FF"/>
    <w:rsid w:val="00D5130C"/>
    <w:rsid w:val="00D62265"/>
    <w:rsid w:val="00D8512E"/>
    <w:rsid w:val="00D85C9E"/>
    <w:rsid w:val="00DA01DF"/>
    <w:rsid w:val="00DA1E58"/>
    <w:rsid w:val="00DB0EF0"/>
    <w:rsid w:val="00DC7A79"/>
    <w:rsid w:val="00DE4EF2"/>
    <w:rsid w:val="00DE6722"/>
    <w:rsid w:val="00DF2C0E"/>
    <w:rsid w:val="00E04DB6"/>
    <w:rsid w:val="00E06FFB"/>
    <w:rsid w:val="00E16018"/>
    <w:rsid w:val="00E20771"/>
    <w:rsid w:val="00E30155"/>
    <w:rsid w:val="00E357FB"/>
    <w:rsid w:val="00E91FE1"/>
    <w:rsid w:val="00EA5E95"/>
    <w:rsid w:val="00ED4954"/>
    <w:rsid w:val="00EE0943"/>
    <w:rsid w:val="00EE33A2"/>
    <w:rsid w:val="00F67A1C"/>
    <w:rsid w:val="00F82C5B"/>
    <w:rsid w:val="00F8555F"/>
    <w:rsid w:val="00FB03C3"/>
    <w:rsid w:val="00FC4746"/>
    <w:rsid w:val="00FF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53A607F-6A96-4FA5-B4B4-D33B8F9C7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">
    <w:name w:val="annotation subject"/>
    <w:basedOn w:val="ac"/>
    <w:next w:val="ac"/>
    <w:link w:val="Char1"/>
    <w:rsid w:val="00DE6722"/>
    <w:rPr>
      <w:b/>
      <w:bCs/>
    </w:rPr>
  </w:style>
  <w:style w:type="character" w:customStyle="1" w:styleId="Char0">
    <w:name w:val="批注文字 Char"/>
    <w:link w:val="ac"/>
    <w:semiHidden/>
    <w:rsid w:val="00DE6722"/>
    <w:rPr>
      <w:rFonts w:ascii="Times New Roman" w:hAnsi="Times New Roman"/>
      <w:lang w:eastAsia="en-US"/>
    </w:rPr>
  </w:style>
  <w:style w:type="character" w:customStyle="1" w:styleId="Char1">
    <w:name w:val="批注主题 Char"/>
    <w:link w:val="af"/>
    <w:rsid w:val="00DE6722"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link w:val="B1"/>
    <w:qFormat/>
    <w:locked/>
    <w:rsid w:val="001D1F4A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CE6D76"/>
    <w:pPr>
      <w:ind w:left="720"/>
      <w:contextualSpacing/>
    </w:pPr>
  </w:style>
  <w:style w:type="table" w:styleId="af1">
    <w:name w:val="Table Grid"/>
    <w:basedOn w:val="a1"/>
    <w:rsid w:val="001603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207</TotalTime>
  <Pages>1</Pages>
  <Words>1109</Words>
  <Characters>6326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11</cp:revision>
  <cp:lastPrinted>1899-12-31T16:00:00Z</cp:lastPrinted>
  <dcterms:created xsi:type="dcterms:W3CDTF">2022-07-27T02:21:00Z</dcterms:created>
  <dcterms:modified xsi:type="dcterms:W3CDTF">2022-08-16T01:01:00Z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(3)sbWDcZvY2BggO27zwj66SlYkdEc4Q++PBV7PhYUoBzflH36g5M1GJ7mxwMSaNXOkaLDVPi86
IaEu4juWcZHWkJLSYOI9UDbiHFWjrE49Mf8O+EH3JXc67wrtF2Gnr1NG1iSJAbdDST6EbCmn
7edVzLYhWRJDAxl3a1NpqVi2Ppon3oIog9P/YcR2aHQAOOm/FLaCodAt6lgY3hLeLJVS7+pB
AdnIgcdGrZTu7orl+B</vt:lpwstr>
  </property>
  <property fmtid="{D5CDD505-2E9C-101B-9397-08002B2CF9AE}" pid="4" name="_2015_ms_pID_7253431">
    <vt:lpwstr>66EMlQFXX9Wr306Tk24zPS2TiDgfqPBDf6txxFRGiKiKvzROhVBkXQ
w4t+29xp5NoVJCkF+mx1ZD+0BsqRwQcCo9ffcxeDd5JsPXq8y9gDWzHEYG8CVR3ZqfP5rKIO
Zqbb5vOSIRt0JDIZBravxSyJgKEVeeYEZg+k1mUqooK8HoBDEng1VqNBQ0wwAJ4VyUNV5vsW
oMWj04Pqu5DD0FpxBoSKXdLLyZl4sMXCecCD</vt:lpwstr>
  </property>
  <property fmtid="{D5CDD505-2E9C-101B-9397-08002B2CF9AE}" pid="5" name="_2015_ms_pID_7253432">
    <vt:lpwstr>fw==</vt:lpwstr>
  </property>
</Properties>
</file>